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9C3" w:rsidRDefault="009179C3" w:rsidP="00DA2B92">
      <w:pPr>
        <w:pStyle w:val="Textkrper"/>
        <w:ind w:left="2625"/>
        <w:jc w:val="center"/>
        <w:rPr>
          <w:rFonts w:ascii="Times New Roman"/>
          <w:sz w:val="20"/>
        </w:rPr>
      </w:pPr>
    </w:p>
    <w:p w:rsidR="009179C3" w:rsidRDefault="00D44AF9" w:rsidP="00DA2B92">
      <w:pPr>
        <w:pStyle w:val="Textkrper"/>
        <w:jc w:val="center"/>
        <w:rPr>
          <w:rFonts w:ascii="Times New Roman"/>
          <w:sz w:val="20"/>
        </w:rPr>
      </w:pPr>
      <w:r>
        <w:rPr>
          <w:rFonts w:ascii="Times New Roman"/>
          <w:noProof/>
          <w:sz w:val="20"/>
          <w:lang w:val="de-DE" w:eastAsia="de-DE"/>
        </w:rPr>
        <w:drawing>
          <wp:inline distT="0" distB="0" distL="0" distR="0">
            <wp:extent cx="3168000" cy="2016000"/>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Group_Logo_100mm_sw_03_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8000" cy="2016000"/>
                    </a:xfrm>
                    <a:prstGeom prst="rect">
                      <a:avLst/>
                    </a:prstGeom>
                  </pic:spPr>
                </pic:pic>
              </a:graphicData>
            </a:graphic>
          </wp:inline>
        </w:drawing>
      </w:r>
    </w:p>
    <w:p w:rsidR="009179C3" w:rsidRDefault="009179C3">
      <w:pPr>
        <w:pStyle w:val="Textkrper"/>
        <w:rPr>
          <w:rFonts w:ascii="Times New Roman"/>
          <w:sz w:val="20"/>
        </w:rPr>
      </w:pPr>
    </w:p>
    <w:p w:rsidR="009179C3" w:rsidRDefault="009179C3">
      <w:pPr>
        <w:pStyle w:val="Textkrper"/>
        <w:rPr>
          <w:rFonts w:ascii="Times New Roman"/>
          <w:sz w:val="20"/>
        </w:rPr>
      </w:pPr>
    </w:p>
    <w:p w:rsidR="009179C3" w:rsidRDefault="009179C3">
      <w:pPr>
        <w:pStyle w:val="Textkrper"/>
        <w:rPr>
          <w:rFonts w:ascii="Times New Roman"/>
          <w:sz w:val="20"/>
        </w:rPr>
      </w:pPr>
    </w:p>
    <w:p w:rsidR="009179C3" w:rsidRDefault="009179C3">
      <w:pPr>
        <w:pStyle w:val="Textkrper"/>
        <w:rPr>
          <w:rFonts w:ascii="Times New Roman"/>
          <w:sz w:val="20"/>
        </w:rPr>
      </w:pPr>
    </w:p>
    <w:p w:rsidR="009179C3" w:rsidRDefault="009179C3">
      <w:pPr>
        <w:pStyle w:val="Textkrper"/>
        <w:rPr>
          <w:rFonts w:ascii="Times New Roman"/>
          <w:sz w:val="20"/>
        </w:rPr>
      </w:pPr>
    </w:p>
    <w:p w:rsidR="009179C3" w:rsidRDefault="009179C3">
      <w:pPr>
        <w:pStyle w:val="Textkrper"/>
        <w:rPr>
          <w:rFonts w:ascii="Times New Roman"/>
          <w:sz w:val="20"/>
        </w:rPr>
      </w:pPr>
    </w:p>
    <w:p w:rsidR="009179C3" w:rsidRDefault="009179C3">
      <w:pPr>
        <w:pStyle w:val="Textkrper"/>
        <w:rPr>
          <w:rFonts w:ascii="Times New Roman"/>
          <w:sz w:val="20"/>
        </w:rPr>
      </w:pPr>
    </w:p>
    <w:p w:rsidR="009179C3" w:rsidRDefault="009179C3">
      <w:pPr>
        <w:pStyle w:val="Textkrper"/>
        <w:rPr>
          <w:rFonts w:ascii="Times New Roman"/>
          <w:sz w:val="20"/>
        </w:rPr>
      </w:pPr>
    </w:p>
    <w:p w:rsidR="009179C3" w:rsidRDefault="009179C3">
      <w:pPr>
        <w:pStyle w:val="Textkrper"/>
        <w:rPr>
          <w:rFonts w:ascii="Times New Roman"/>
          <w:sz w:val="20"/>
        </w:rPr>
      </w:pPr>
    </w:p>
    <w:p w:rsidR="009179C3" w:rsidRDefault="009179C3">
      <w:pPr>
        <w:pStyle w:val="Textkrper"/>
        <w:rPr>
          <w:rFonts w:ascii="Times New Roman"/>
          <w:sz w:val="20"/>
        </w:rPr>
      </w:pPr>
    </w:p>
    <w:p w:rsidR="009179C3" w:rsidRDefault="009179C3">
      <w:pPr>
        <w:pStyle w:val="Textkrper"/>
        <w:rPr>
          <w:rFonts w:ascii="Times New Roman"/>
          <w:sz w:val="20"/>
        </w:rPr>
      </w:pPr>
    </w:p>
    <w:p w:rsidR="009179C3" w:rsidRDefault="009179C3">
      <w:pPr>
        <w:pStyle w:val="Textkrper"/>
        <w:rPr>
          <w:rFonts w:ascii="Times New Roman"/>
          <w:sz w:val="20"/>
        </w:rPr>
      </w:pPr>
    </w:p>
    <w:p w:rsidR="009179C3" w:rsidRDefault="009179C3">
      <w:pPr>
        <w:pStyle w:val="Textkrper"/>
        <w:spacing w:before="2"/>
        <w:rPr>
          <w:rFonts w:ascii="Times New Roman"/>
          <w:sz w:val="16"/>
        </w:rPr>
      </w:pPr>
    </w:p>
    <w:p w:rsidR="009179C3" w:rsidRDefault="003A6209">
      <w:pPr>
        <w:spacing w:before="34" w:line="364" w:lineRule="auto"/>
        <w:ind w:left="1857" w:right="1566"/>
        <w:jc w:val="center"/>
        <w:rPr>
          <w:b/>
          <w:sz w:val="40"/>
        </w:rPr>
      </w:pPr>
      <w:r>
        <w:rPr>
          <w:b/>
          <w:sz w:val="40"/>
        </w:rPr>
        <w:t>Data Protection Guidelines of</w:t>
      </w:r>
    </w:p>
    <w:p w:rsidR="009179C3" w:rsidRDefault="003A6209">
      <w:pPr>
        <w:spacing w:before="7"/>
        <w:ind w:left="1855" w:right="1566"/>
        <w:jc w:val="center"/>
        <w:rPr>
          <w:b/>
          <w:sz w:val="40"/>
        </w:rPr>
      </w:pPr>
      <w:r>
        <w:rPr>
          <w:b/>
          <w:sz w:val="40"/>
        </w:rPr>
        <w:t>Victor's Group</w:t>
      </w:r>
    </w:p>
    <w:p w:rsidR="009179C3" w:rsidRDefault="009179C3">
      <w:pPr>
        <w:jc w:val="center"/>
        <w:rPr>
          <w:sz w:val="40"/>
        </w:rPr>
        <w:sectPr w:rsidR="009179C3">
          <w:type w:val="continuous"/>
          <w:pgSz w:w="11900" w:h="16840"/>
          <w:pgMar w:top="720" w:right="1680" w:bottom="280" w:left="1680" w:header="720" w:footer="720" w:gutter="0"/>
          <w:cols w:space="720"/>
        </w:sectPr>
      </w:pPr>
    </w:p>
    <w:p w:rsidR="009179C3" w:rsidRDefault="003A6209">
      <w:pPr>
        <w:pStyle w:val="berschrift1"/>
        <w:spacing w:before="60"/>
        <w:ind w:left="118" w:firstLine="0"/>
      </w:pPr>
      <w:bookmarkStart w:id="0" w:name="_TOC_250010"/>
      <w:bookmarkEnd w:id="0"/>
      <w:r>
        <w:lastRenderedPageBreak/>
        <w:t>Foreword</w:t>
      </w:r>
    </w:p>
    <w:p w:rsidR="009179C3" w:rsidRDefault="003A6209">
      <w:pPr>
        <w:pStyle w:val="Textkrper"/>
        <w:spacing w:before="239"/>
        <w:ind w:left="118" w:right="125"/>
      </w:pPr>
      <w:r>
        <w:t xml:space="preserve">Victor's Group, with administrative offices in Berlin, Munich and </w:t>
      </w:r>
      <w:proofErr w:type="spellStart"/>
      <w:r>
        <w:t>Saarbrücken</w:t>
      </w:r>
      <w:proofErr w:type="spellEnd"/>
      <w:r>
        <w:t>, is the leading private provider of residential facilities for the elderly in Germany with currently approx. 130 facilities and 19,000 places.</w:t>
      </w:r>
    </w:p>
    <w:p w:rsidR="009179C3" w:rsidRDefault="009179C3">
      <w:pPr>
        <w:pStyle w:val="Textkrper"/>
        <w:spacing w:before="11"/>
        <w:rPr>
          <w:sz w:val="23"/>
        </w:rPr>
      </w:pPr>
    </w:p>
    <w:p w:rsidR="009179C3" w:rsidRDefault="003A6209">
      <w:pPr>
        <w:pStyle w:val="Textkrper"/>
        <w:ind w:left="118" w:right="117"/>
      </w:pPr>
      <w:r>
        <w:t xml:space="preserve">The Group comprises a network of several service </w:t>
      </w:r>
      <w:proofErr w:type="gramStart"/>
      <w:r>
        <w:t>providers which</w:t>
      </w:r>
      <w:proofErr w:type="gramEnd"/>
      <w:r>
        <w:t xml:space="preserve"> work closely together. All business fields serve a single goal: best quality of life through best service. Starting with progressive living concepts for the elderly, through to the provision of health, financial and care services, catering and building management in the health sector right up to business hotels, restaurants and holiday homes, all with the emphasis on quality of service. Together, that makes about 12,000 secure jobs in Germany - with a rising trend. That means everyone is </w:t>
      </w:r>
      <w:proofErr w:type="gramStart"/>
      <w:r>
        <w:t>in good hands</w:t>
      </w:r>
      <w:proofErr w:type="gramEnd"/>
      <w:r>
        <w:t xml:space="preserve"> with us: customers, guests and residents as also employees and partners.</w:t>
      </w:r>
    </w:p>
    <w:p w:rsidR="009179C3" w:rsidRDefault="009179C3">
      <w:pPr>
        <w:pStyle w:val="Textkrper"/>
        <w:spacing w:before="11"/>
        <w:rPr>
          <w:sz w:val="23"/>
        </w:rPr>
      </w:pPr>
    </w:p>
    <w:p w:rsidR="009179C3" w:rsidRDefault="003A6209">
      <w:pPr>
        <w:pStyle w:val="Textkrper"/>
        <w:ind w:left="118" w:right="556"/>
      </w:pPr>
      <w:r>
        <w:t xml:space="preserve">Within the scope of increasing </w:t>
      </w:r>
      <w:proofErr w:type="spellStart"/>
      <w:r>
        <w:t>digitalisation</w:t>
      </w:r>
      <w:proofErr w:type="spellEnd"/>
      <w:r>
        <w:t xml:space="preserve"> in many areas, data protection and data security represent a top priority for us.</w:t>
      </w:r>
    </w:p>
    <w:p w:rsidR="009179C3" w:rsidRDefault="009179C3">
      <w:pPr>
        <w:pStyle w:val="Textkrper"/>
        <w:spacing w:before="11"/>
        <w:rPr>
          <w:sz w:val="23"/>
        </w:rPr>
      </w:pPr>
    </w:p>
    <w:p w:rsidR="009179C3" w:rsidRDefault="003A6209">
      <w:pPr>
        <w:pStyle w:val="Textkrper"/>
        <w:ind w:left="118" w:right="916"/>
      </w:pPr>
      <w:r>
        <w:t>The aim in this respect is to guarantee a high degree of data protection and data security for all employees, customers, guests, residents and business partners.</w:t>
      </w:r>
    </w:p>
    <w:p w:rsidR="009179C3" w:rsidRDefault="009179C3">
      <w:pPr>
        <w:pStyle w:val="Textkrper"/>
        <w:spacing w:before="11"/>
        <w:rPr>
          <w:sz w:val="23"/>
        </w:rPr>
      </w:pPr>
    </w:p>
    <w:p w:rsidR="009179C3" w:rsidRDefault="003A6209">
      <w:pPr>
        <w:pStyle w:val="Textkrper"/>
        <w:ind w:left="118" w:right="90"/>
      </w:pPr>
      <w:r>
        <w:t xml:space="preserve">With these Data Protection </w:t>
      </w:r>
      <w:proofErr w:type="gramStart"/>
      <w:r>
        <w:t>Guidelines</w:t>
      </w:r>
      <w:proofErr w:type="gramEnd"/>
      <w:r>
        <w:t xml:space="preserve"> we also take into account the requirements of the European General Data Protection Regulation (GDPR) and of the new </w:t>
      </w:r>
      <w:proofErr w:type="spellStart"/>
      <w:r>
        <w:t>Bundesdatenschutzgesetz</w:t>
      </w:r>
      <w:proofErr w:type="spellEnd"/>
      <w:r>
        <w:t xml:space="preserve"> (BDSG-</w:t>
      </w:r>
      <w:proofErr w:type="spellStart"/>
      <w:r>
        <w:t>neu</w:t>
      </w:r>
      <w:proofErr w:type="spellEnd"/>
      <w:r>
        <w:t xml:space="preserve">) </w:t>
      </w:r>
      <w:r>
        <w:rPr>
          <w:i/>
        </w:rPr>
        <w:t xml:space="preserve">[Federal Data Protection Act - new] </w:t>
      </w:r>
      <w:r>
        <w:t>which are in effect since 25 May 2018.</w:t>
      </w:r>
    </w:p>
    <w:p w:rsidR="009179C3" w:rsidRDefault="009179C3">
      <w:pPr>
        <w:pStyle w:val="Textkrper"/>
        <w:spacing w:before="11"/>
        <w:rPr>
          <w:sz w:val="23"/>
        </w:rPr>
      </w:pPr>
    </w:p>
    <w:p w:rsidR="009179C3" w:rsidRDefault="003A6209">
      <w:pPr>
        <w:pStyle w:val="Textkrper"/>
        <w:ind w:left="118" w:right="263"/>
      </w:pPr>
      <w:r>
        <w:t>The Data Protection Guidelines form the basis for the responsible handling of personal data.</w:t>
      </w:r>
    </w:p>
    <w:p w:rsidR="009179C3" w:rsidRDefault="009179C3">
      <w:pPr>
        <w:pStyle w:val="Textkrper"/>
        <w:spacing w:before="11"/>
        <w:rPr>
          <w:sz w:val="23"/>
        </w:rPr>
      </w:pPr>
    </w:p>
    <w:p w:rsidR="009179C3" w:rsidRDefault="003A6209">
      <w:pPr>
        <w:pStyle w:val="Textkrper"/>
        <w:ind w:left="118" w:right="209"/>
      </w:pPr>
      <w:r>
        <w:t>Victor's Group considers the proper implementation of and compliance with these Guidelines to represent a significant contribution to the protection and success of the Group.</w:t>
      </w:r>
    </w:p>
    <w:p w:rsidR="009179C3" w:rsidRDefault="009179C3">
      <w:pPr>
        <w:pStyle w:val="Textkrper"/>
        <w:spacing w:before="11"/>
        <w:rPr>
          <w:sz w:val="23"/>
        </w:rPr>
      </w:pPr>
    </w:p>
    <w:p w:rsidR="009179C3" w:rsidRDefault="003A6209">
      <w:pPr>
        <w:pStyle w:val="Textkrper"/>
        <w:ind w:left="118" w:right="182"/>
      </w:pPr>
      <w:r>
        <w:t xml:space="preserve">The corporate data protection officer ensures compliance with the statutory provisions and the regulations of these Guidelines and is available as the contact person </w:t>
      </w:r>
      <w:proofErr w:type="gramStart"/>
      <w:r>
        <w:t>in regard to</w:t>
      </w:r>
      <w:proofErr w:type="gramEnd"/>
      <w:r>
        <w:t xml:space="preserve"> all questions relating to data protection and data security.</w:t>
      </w:r>
    </w:p>
    <w:p w:rsidR="009179C3" w:rsidRDefault="009179C3">
      <w:pPr>
        <w:pStyle w:val="Textkrper"/>
      </w:pPr>
    </w:p>
    <w:p w:rsidR="009179C3" w:rsidRDefault="009179C3">
      <w:pPr>
        <w:pStyle w:val="Textkrper"/>
        <w:spacing w:before="11"/>
        <w:rPr>
          <w:sz w:val="23"/>
        </w:rPr>
      </w:pPr>
    </w:p>
    <w:p w:rsidR="009179C3" w:rsidRDefault="003A6209" w:rsidP="001F115D">
      <w:pPr>
        <w:pStyle w:val="Textkrper"/>
      </w:pPr>
      <w:proofErr w:type="spellStart"/>
      <w:r>
        <w:t>Saarbrücken</w:t>
      </w:r>
      <w:proofErr w:type="spellEnd"/>
      <w:r>
        <w:t xml:space="preserve">, in </w:t>
      </w:r>
      <w:r w:rsidR="001F115D">
        <w:t>September 2022</w:t>
      </w:r>
    </w:p>
    <w:p w:rsidR="009179C3" w:rsidRDefault="009179C3">
      <w:pPr>
        <w:pStyle w:val="Textkrper"/>
      </w:pPr>
    </w:p>
    <w:p w:rsidR="009179C3" w:rsidRDefault="009179C3">
      <w:pPr>
        <w:pStyle w:val="Textkrper"/>
      </w:pPr>
    </w:p>
    <w:p w:rsidR="009179C3" w:rsidRDefault="009179C3">
      <w:pPr>
        <w:pStyle w:val="Textkrper"/>
        <w:spacing w:before="11"/>
        <w:rPr>
          <w:sz w:val="23"/>
        </w:rPr>
      </w:pPr>
    </w:p>
    <w:p w:rsidR="009179C3" w:rsidRDefault="003A6209">
      <w:pPr>
        <w:pStyle w:val="Textkrper"/>
        <w:ind w:left="118"/>
      </w:pPr>
      <w:r>
        <w:t>Thomas Knop</w:t>
      </w:r>
    </w:p>
    <w:p w:rsidR="009179C3" w:rsidRDefault="003A6209">
      <w:pPr>
        <w:pStyle w:val="Textkrper"/>
        <w:ind w:left="118"/>
      </w:pPr>
      <w:r>
        <w:t>Corporate data protection officer</w:t>
      </w:r>
    </w:p>
    <w:p w:rsidR="009179C3" w:rsidRDefault="009179C3">
      <w:pPr>
        <w:sectPr w:rsidR="009179C3">
          <w:footerReference w:type="default" r:id="rId8"/>
          <w:pgSz w:w="11900" w:h="16840"/>
          <w:pgMar w:top="1600" w:right="1020" w:bottom="900" w:left="1300" w:header="0" w:footer="716" w:gutter="0"/>
          <w:pgNumType w:start="2"/>
          <w:cols w:space="720"/>
        </w:sectPr>
      </w:pPr>
    </w:p>
    <w:p w:rsidR="009179C3" w:rsidRDefault="003A6209">
      <w:pPr>
        <w:spacing w:before="60"/>
        <w:ind w:left="118"/>
        <w:rPr>
          <w:b/>
          <w:sz w:val="32"/>
        </w:rPr>
      </w:pPr>
      <w:r>
        <w:rPr>
          <w:b/>
          <w:sz w:val="32"/>
        </w:rPr>
        <w:lastRenderedPageBreak/>
        <w:t>Contents</w:t>
      </w:r>
    </w:p>
    <w:sdt>
      <w:sdtPr>
        <w:id w:val="-1397968220"/>
        <w:docPartObj>
          <w:docPartGallery w:val="Table of Contents"/>
          <w:docPartUnique/>
        </w:docPartObj>
      </w:sdtPr>
      <w:sdtEndPr/>
      <w:sdtContent>
        <w:p w:rsidR="009179C3" w:rsidRDefault="005879CC">
          <w:pPr>
            <w:pStyle w:val="Verzeichnis1"/>
            <w:tabs>
              <w:tab w:val="right" w:pos="7930"/>
            </w:tabs>
            <w:spacing w:before="737"/>
            <w:ind w:left="118" w:firstLine="0"/>
          </w:pPr>
          <w:hyperlink w:anchor="_TOC_250010" w:history="1">
            <w:r w:rsidR="003A6209">
              <w:t>Foreword</w:t>
            </w:r>
            <w:r w:rsidR="003A6209">
              <w:tab/>
              <w:t>2</w:t>
            </w:r>
          </w:hyperlink>
        </w:p>
        <w:p w:rsidR="009179C3" w:rsidRDefault="005879CC">
          <w:pPr>
            <w:pStyle w:val="Verzeichnis1"/>
            <w:numPr>
              <w:ilvl w:val="0"/>
              <w:numId w:val="2"/>
            </w:numPr>
            <w:tabs>
              <w:tab w:val="left" w:pos="684"/>
              <w:tab w:val="left" w:pos="685"/>
              <w:tab w:val="right" w:pos="7930"/>
            </w:tabs>
            <w:spacing w:before="321"/>
            <w:ind w:hanging="566"/>
          </w:pPr>
          <w:hyperlink w:anchor="_TOC_250009" w:history="1">
            <w:r w:rsidR="003A6209">
              <w:t>Aim of the Data</w:t>
            </w:r>
            <w:r w:rsidR="003A6209">
              <w:rPr>
                <w:spacing w:val="1"/>
              </w:rPr>
              <w:t xml:space="preserve"> </w:t>
            </w:r>
            <w:r w:rsidR="003A6209">
              <w:t>Protection</w:t>
            </w:r>
            <w:r w:rsidR="003A6209">
              <w:rPr>
                <w:spacing w:val="-1"/>
              </w:rPr>
              <w:t xml:space="preserve"> </w:t>
            </w:r>
            <w:r w:rsidR="003A6209">
              <w:t>Guidelines</w:t>
            </w:r>
            <w:r w:rsidR="003A6209">
              <w:tab/>
              <w:t>4</w:t>
            </w:r>
          </w:hyperlink>
        </w:p>
        <w:p w:rsidR="009179C3" w:rsidRDefault="005879CC">
          <w:pPr>
            <w:pStyle w:val="Verzeichnis1"/>
            <w:numPr>
              <w:ilvl w:val="0"/>
              <w:numId w:val="2"/>
            </w:numPr>
            <w:tabs>
              <w:tab w:val="left" w:pos="684"/>
              <w:tab w:val="left" w:pos="685"/>
              <w:tab w:val="right" w:pos="7930"/>
            </w:tabs>
            <w:spacing w:before="321"/>
            <w:ind w:hanging="566"/>
          </w:pPr>
          <w:hyperlink w:anchor="_TOC_250008" w:history="1">
            <w:r w:rsidR="003A6209">
              <w:t>Scope of validity</w:t>
            </w:r>
            <w:r w:rsidR="003A6209">
              <w:tab/>
              <w:t>4</w:t>
            </w:r>
          </w:hyperlink>
        </w:p>
        <w:p w:rsidR="009179C3" w:rsidRDefault="005879CC">
          <w:pPr>
            <w:pStyle w:val="Verzeichnis1"/>
            <w:numPr>
              <w:ilvl w:val="0"/>
              <w:numId w:val="2"/>
            </w:numPr>
            <w:tabs>
              <w:tab w:val="left" w:pos="684"/>
              <w:tab w:val="left" w:pos="685"/>
              <w:tab w:val="right" w:pos="7930"/>
            </w:tabs>
            <w:spacing w:before="323"/>
            <w:ind w:hanging="566"/>
          </w:pPr>
          <w:hyperlink w:anchor="_TOC_250007" w:history="1">
            <w:r w:rsidR="003A6209">
              <w:t>Legal bases for the processing of</w:t>
            </w:r>
            <w:r w:rsidR="003A6209">
              <w:rPr>
                <w:spacing w:val="-9"/>
              </w:rPr>
              <w:t xml:space="preserve"> </w:t>
            </w:r>
            <w:r w:rsidR="003A6209">
              <w:t>personal</w:t>
            </w:r>
            <w:r w:rsidR="003A6209">
              <w:rPr>
                <w:spacing w:val="-2"/>
              </w:rPr>
              <w:t xml:space="preserve"> </w:t>
            </w:r>
            <w:r w:rsidR="003A6209">
              <w:t>data</w:t>
            </w:r>
            <w:r w:rsidR="003A6209">
              <w:tab/>
              <w:t>4</w:t>
            </w:r>
          </w:hyperlink>
        </w:p>
        <w:p w:rsidR="009179C3" w:rsidRDefault="005879CC">
          <w:pPr>
            <w:pStyle w:val="Verzeichnis1"/>
            <w:numPr>
              <w:ilvl w:val="0"/>
              <w:numId w:val="2"/>
            </w:numPr>
            <w:tabs>
              <w:tab w:val="left" w:pos="684"/>
              <w:tab w:val="left" w:pos="685"/>
              <w:tab w:val="right" w:pos="7930"/>
            </w:tabs>
            <w:ind w:hanging="566"/>
          </w:pPr>
          <w:hyperlink w:anchor="_TOC_250006" w:history="1">
            <w:r w:rsidR="003A6209">
              <w:t>Admissibility of the</w:t>
            </w:r>
            <w:r w:rsidR="003A6209">
              <w:rPr>
                <w:spacing w:val="-6"/>
              </w:rPr>
              <w:t xml:space="preserve"> </w:t>
            </w:r>
            <w:r w:rsidR="003A6209">
              <w:t>data processing</w:t>
            </w:r>
            <w:r w:rsidR="003A6209">
              <w:tab/>
              <w:t>4</w:t>
            </w:r>
          </w:hyperlink>
        </w:p>
        <w:p w:rsidR="009179C3" w:rsidRDefault="005879CC">
          <w:pPr>
            <w:pStyle w:val="Verzeichnis1"/>
            <w:numPr>
              <w:ilvl w:val="0"/>
              <w:numId w:val="2"/>
            </w:numPr>
            <w:tabs>
              <w:tab w:val="left" w:pos="684"/>
              <w:tab w:val="left" w:pos="685"/>
              <w:tab w:val="right" w:pos="7930"/>
            </w:tabs>
            <w:ind w:hanging="566"/>
          </w:pPr>
          <w:hyperlink w:anchor="_TOC_250005" w:history="1">
            <w:r w:rsidR="003A6209">
              <w:t>The corporate data</w:t>
            </w:r>
            <w:r w:rsidR="003A6209">
              <w:rPr>
                <w:spacing w:val="-3"/>
              </w:rPr>
              <w:t xml:space="preserve"> </w:t>
            </w:r>
            <w:r w:rsidR="003A6209">
              <w:t>protection</w:t>
            </w:r>
            <w:r w:rsidR="003A6209">
              <w:rPr>
                <w:spacing w:val="-1"/>
              </w:rPr>
              <w:t xml:space="preserve"> </w:t>
            </w:r>
            <w:r w:rsidR="003A6209">
              <w:t>officer</w:t>
            </w:r>
            <w:r w:rsidR="003A6209">
              <w:tab/>
            </w:r>
            <w:r w:rsidR="001F115D">
              <w:t>5</w:t>
            </w:r>
          </w:hyperlink>
        </w:p>
        <w:p w:rsidR="009179C3" w:rsidRDefault="003A6209">
          <w:pPr>
            <w:pStyle w:val="Verzeichnis1"/>
            <w:numPr>
              <w:ilvl w:val="0"/>
              <w:numId w:val="2"/>
            </w:numPr>
            <w:tabs>
              <w:tab w:val="left" w:pos="684"/>
              <w:tab w:val="left" w:pos="685"/>
              <w:tab w:val="right" w:pos="7930"/>
            </w:tabs>
            <w:spacing w:before="323"/>
            <w:ind w:hanging="566"/>
          </w:pPr>
          <w:r>
            <w:t>Rights of the</w:t>
          </w:r>
          <w:r>
            <w:rPr>
              <w:spacing w:val="-1"/>
            </w:rPr>
            <w:t xml:space="preserve"> </w:t>
          </w:r>
          <w:r>
            <w:t>data</w:t>
          </w:r>
          <w:r>
            <w:rPr>
              <w:spacing w:val="-3"/>
            </w:rPr>
            <w:t xml:space="preserve"> </w:t>
          </w:r>
          <w:r>
            <w:t>subjects</w:t>
          </w:r>
          <w:r>
            <w:tab/>
            <w:t>6</w:t>
          </w:r>
        </w:p>
        <w:p w:rsidR="009179C3" w:rsidRDefault="005879CC">
          <w:pPr>
            <w:pStyle w:val="Verzeichnis1"/>
            <w:numPr>
              <w:ilvl w:val="0"/>
              <w:numId w:val="2"/>
            </w:numPr>
            <w:tabs>
              <w:tab w:val="left" w:pos="684"/>
              <w:tab w:val="left" w:pos="685"/>
              <w:tab w:val="right" w:pos="7930"/>
            </w:tabs>
            <w:spacing w:before="321"/>
            <w:ind w:hanging="566"/>
          </w:pPr>
          <w:hyperlink w:anchor="_TOC_250004" w:history="1">
            <w:r w:rsidR="003A6209">
              <w:t>Confidentiality of the</w:t>
            </w:r>
            <w:r w:rsidR="003A6209">
              <w:rPr>
                <w:spacing w:val="-6"/>
              </w:rPr>
              <w:t xml:space="preserve"> </w:t>
            </w:r>
            <w:r w:rsidR="003A6209">
              <w:t>data processing</w:t>
            </w:r>
            <w:r w:rsidR="003A6209">
              <w:tab/>
            </w:r>
          </w:hyperlink>
          <w:r w:rsidR="001F115D">
            <w:t>6</w:t>
          </w:r>
        </w:p>
        <w:p w:rsidR="009179C3" w:rsidRDefault="005879CC">
          <w:pPr>
            <w:pStyle w:val="Verzeichnis1"/>
            <w:numPr>
              <w:ilvl w:val="0"/>
              <w:numId w:val="2"/>
            </w:numPr>
            <w:tabs>
              <w:tab w:val="left" w:pos="684"/>
              <w:tab w:val="left" w:pos="685"/>
              <w:tab w:val="right" w:pos="7930"/>
            </w:tabs>
            <w:spacing w:before="321"/>
            <w:ind w:hanging="566"/>
          </w:pPr>
          <w:hyperlink w:anchor="_TOC_250003" w:history="1">
            <w:r w:rsidR="003A6209">
              <w:t>Security of the</w:t>
            </w:r>
            <w:r w:rsidR="003A6209">
              <w:rPr>
                <w:spacing w:val="-8"/>
              </w:rPr>
              <w:t xml:space="preserve"> </w:t>
            </w:r>
            <w:r w:rsidR="003A6209">
              <w:t>data processing</w:t>
            </w:r>
            <w:r w:rsidR="003A6209">
              <w:tab/>
            </w:r>
            <w:r w:rsidR="001F115D">
              <w:t>6</w:t>
            </w:r>
          </w:hyperlink>
        </w:p>
        <w:p w:rsidR="009179C3" w:rsidRDefault="005879CC">
          <w:pPr>
            <w:pStyle w:val="Verzeichnis1"/>
            <w:numPr>
              <w:ilvl w:val="0"/>
              <w:numId w:val="2"/>
            </w:numPr>
            <w:tabs>
              <w:tab w:val="left" w:pos="684"/>
              <w:tab w:val="left" w:pos="685"/>
              <w:tab w:val="right" w:pos="7930"/>
            </w:tabs>
            <w:spacing w:before="323"/>
            <w:ind w:hanging="566"/>
          </w:pPr>
          <w:hyperlink w:anchor="_TOC_250002" w:history="1">
            <w:r w:rsidR="003A6209">
              <w:t>Monitoring of data</w:t>
            </w:r>
            <w:r w:rsidR="003A6209">
              <w:rPr>
                <w:spacing w:val="-3"/>
              </w:rPr>
              <w:t xml:space="preserve"> </w:t>
            </w:r>
            <w:r w:rsidR="003A6209">
              <w:t>protection</w:t>
            </w:r>
            <w:r w:rsidR="003A6209">
              <w:tab/>
              <w:t>7</w:t>
            </w:r>
          </w:hyperlink>
        </w:p>
        <w:p w:rsidR="009179C3" w:rsidRDefault="005879CC">
          <w:pPr>
            <w:pStyle w:val="Verzeichnis1"/>
            <w:numPr>
              <w:ilvl w:val="0"/>
              <w:numId w:val="2"/>
            </w:numPr>
            <w:tabs>
              <w:tab w:val="left" w:pos="685"/>
              <w:tab w:val="right" w:pos="7930"/>
            </w:tabs>
            <w:ind w:hanging="566"/>
          </w:pPr>
          <w:hyperlink w:anchor="_TOC_250001" w:history="1">
            <w:r w:rsidR="003A6209">
              <w:t>Data protection</w:t>
            </w:r>
            <w:r w:rsidR="003A6209">
              <w:rPr>
                <w:spacing w:val="-1"/>
              </w:rPr>
              <w:t xml:space="preserve"> </w:t>
            </w:r>
            <w:r w:rsidR="003A6209">
              <w:t>incidents</w:t>
            </w:r>
            <w:r w:rsidR="003A6209">
              <w:tab/>
            </w:r>
            <w:r w:rsidR="001F115D">
              <w:t>7</w:t>
            </w:r>
          </w:hyperlink>
        </w:p>
        <w:p w:rsidR="001F115D" w:rsidRDefault="005879CC">
          <w:pPr>
            <w:pStyle w:val="Verzeichnis1"/>
            <w:numPr>
              <w:ilvl w:val="0"/>
              <w:numId w:val="2"/>
            </w:numPr>
            <w:tabs>
              <w:tab w:val="left" w:pos="685"/>
              <w:tab w:val="right" w:pos="7930"/>
            </w:tabs>
            <w:ind w:hanging="566"/>
          </w:pPr>
          <w:hyperlink w:anchor="_TOC_250000" w:history="1">
            <w:r w:rsidR="003A6209">
              <w:t>Responsibilities</w:t>
            </w:r>
            <w:r w:rsidR="003A6209">
              <w:rPr>
                <w:spacing w:val="-3"/>
              </w:rPr>
              <w:t xml:space="preserve"> </w:t>
            </w:r>
            <w:r w:rsidR="003A6209">
              <w:t>and</w:t>
            </w:r>
            <w:r w:rsidR="003A6209">
              <w:rPr>
                <w:spacing w:val="-1"/>
              </w:rPr>
              <w:t xml:space="preserve"> </w:t>
            </w:r>
            <w:r w:rsidR="003A6209">
              <w:t>sanctions</w:t>
            </w:r>
            <w:r w:rsidR="003A6209">
              <w:tab/>
            </w:r>
          </w:hyperlink>
          <w:r w:rsidR="001F115D">
            <w:t>7</w:t>
          </w:r>
        </w:p>
        <w:p w:rsidR="009179C3" w:rsidRDefault="001F115D" w:rsidP="001F115D">
          <w:pPr>
            <w:pStyle w:val="Verzeichnis1"/>
            <w:numPr>
              <w:ilvl w:val="0"/>
              <w:numId w:val="2"/>
            </w:numPr>
            <w:tabs>
              <w:tab w:val="left" w:pos="685"/>
              <w:tab w:val="right" w:pos="7930"/>
            </w:tabs>
          </w:pPr>
          <w:r w:rsidRPr="001F115D">
            <w:t>Changes and</w:t>
          </w:r>
          <w:r>
            <w:t xml:space="preserve"> updates to this Privacy Policy</w:t>
          </w:r>
          <w:r>
            <w:tab/>
            <w:t>8</w:t>
          </w:r>
        </w:p>
      </w:sdtContent>
    </w:sdt>
    <w:p w:rsidR="009179C3" w:rsidRDefault="009179C3"/>
    <w:p w:rsidR="001F115D" w:rsidRDefault="001F115D"/>
    <w:p w:rsidR="001F115D" w:rsidRDefault="001F115D"/>
    <w:p w:rsidR="001F115D" w:rsidRDefault="001F115D">
      <w:pPr>
        <w:sectPr w:rsidR="001F115D">
          <w:pgSz w:w="11900" w:h="16840"/>
          <w:pgMar w:top="1600" w:right="1180" w:bottom="900" w:left="1300" w:header="0" w:footer="716" w:gutter="0"/>
          <w:cols w:space="720"/>
        </w:sectPr>
      </w:pPr>
    </w:p>
    <w:p w:rsidR="009179C3" w:rsidRDefault="009179C3">
      <w:pPr>
        <w:pStyle w:val="Textkrper"/>
        <w:spacing w:before="1"/>
        <w:rPr>
          <w:b/>
          <w:sz w:val="26"/>
        </w:rPr>
      </w:pPr>
    </w:p>
    <w:p w:rsidR="009179C3" w:rsidRDefault="003A6209">
      <w:pPr>
        <w:pStyle w:val="berschrift1"/>
        <w:numPr>
          <w:ilvl w:val="0"/>
          <w:numId w:val="1"/>
        </w:numPr>
        <w:tabs>
          <w:tab w:val="left" w:pos="474"/>
        </w:tabs>
        <w:ind w:hanging="355"/>
      </w:pPr>
      <w:bookmarkStart w:id="1" w:name="_TOC_250009"/>
      <w:r>
        <w:t>Aim of the Data Protection</w:t>
      </w:r>
      <w:r>
        <w:rPr>
          <w:spacing w:val="-17"/>
        </w:rPr>
        <w:t xml:space="preserve"> </w:t>
      </w:r>
      <w:bookmarkEnd w:id="1"/>
      <w:r>
        <w:t>Guidelines</w:t>
      </w:r>
    </w:p>
    <w:p w:rsidR="009179C3" w:rsidRDefault="009179C3">
      <w:pPr>
        <w:pStyle w:val="Textkrper"/>
        <w:spacing w:before="9"/>
        <w:rPr>
          <w:b/>
          <w:sz w:val="44"/>
        </w:rPr>
      </w:pPr>
    </w:p>
    <w:p w:rsidR="009179C3" w:rsidRDefault="003A6209">
      <w:pPr>
        <w:pStyle w:val="Textkrper"/>
        <w:ind w:left="118" w:right="171"/>
      </w:pPr>
      <w:r>
        <w:t>Victor's Group undertakes to comply with the valid data protection provisions and thereby creates the basis for a trustful collaboration with employees, customers, guests, residents and business partners.</w:t>
      </w:r>
    </w:p>
    <w:p w:rsidR="009179C3" w:rsidRDefault="009179C3">
      <w:pPr>
        <w:pStyle w:val="Textkrper"/>
        <w:spacing w:before="11"/>
        <w:rPr>
          <w:sz w:val="23"/>
        </w:rPr>
      </w:pPr>
    </w:p>
    <w:p w:rsidR="009179C3" w:rsidRDefault="003A6209">
      <w:pPr>
        <w:pStyle w:val="Textkrper"/>
        <w:ind w:left="118" w:right="291"/>
      </w:pPr>
      <w:r>
        <w:t>This strengthens the aspiration of Victor's Group to be a reliable and future- oriented business partner and attractive employer in a fast-changing IT society.</w:t>
      </w:r>
    </w:p>
    <w:p w:rsidR="009179C3" w:rsidRDefault="009179C3">
      <w:pPr>
        <w:pStyle w:val="Textkrper"/>
      </w:pPr>
    </w:p>
    <w:p w:rsidR="009179C3" w:rsidRDefault="009179C3">
      <w:pPr>
        <w:pStyle w:val="Textkrper"/>
      </w:pPr>
    </w:p>
    <w:p w:rsidR="009179C3" w:rsidRDefault="009179C3">
      <w:pPr>
        <w:pStyle w:val="Textkrper"/>
        <w:spacing w:before="9"/>
        <w:rPr>
          <w:sz w:val="20"/>
        </w:rPr>
      </w:pPr>
    </w:p>
    <w:p w:rsidR="009179C3" w:rsidRDefault="003A6209">
      <w:pPr>
        <w:pStyle w:val="berschrift1"/>
        <w:numPr>
          <w:ilvl w:val="0"/>
          <w:numId w:val="1"/>
        </w:numPr>
        <w:tabs>
          <w:tab w:val="left" w:pos="474"/>
        </w:tabs>
        <w:ind w:hanging="355"/>
      </w:pPr>
      <w:bookmarkStart w:id="2" w:name="_TOC_250008"/>
      <w:r>
        <w:t>Scope of</w:t>
      </w:r>
      <w:r>
        <w:rPr>
          <w:spacing w:val="-8"/>
        </w:rPr>
        <w:t xml:space="preserve"> </w:t>
      </w:r>
      <w:bookmarkEnd w:id="2"/>
      <w:r>
        <w:t>validity</w:t>
      </w:r>
    </w:p>
    <w:p w:rsidR="009179C3" w:rsidRDefault="003A6209">
      <w:pPr>
        <w:pStyle w:val="Textkrper"/>
        <w:spacing w:before="239"/>
        <w:ind w:left="118" w:right="1040"/>
        <w:jc w:val="both"/>
      </w:pPr>
      <w:r>
        <w:t xml:space="preserve">These Data Protection Guidelines apply for Victor's </w:t>
      </w:r>
      <w:proofErr w:type="spellStart"/>
      <w:r>
        <w:t>Bau</w:t>
      </w:r>
      <w:proofErr w:type="spellEnd"/>
      <w:r>
        <w:t xml:space="preserve"> + Wert AG </w:t>
      </w:r>
      <w:proofErr w:type="gramStart"/>
      <w:r>
        <w:t>and also</w:t>
      </w:r>
      <w:proofErr w:type="gramEnd"/>
      <w:r>
        <w:t xml:space="preserve"> all companies in which Victor’s </w:t>
      </w:r>
      <w:proofErr w:type="spellStart"/>
      <w:r>
        <w:t>Bau</w:t>
      </w:r>
      <w:proofErr w:type="spellEnd"/>
      <w:r>
        <w:t xml:space="preserve"> + Wert AG, either directly or indirectly, holds a participating interest of more than 50 %.</w:t>
      </w:r>
    </w:p>
    <w:p w:rsidR="009179C3" w:rsidRDefault="009179C3">
      <w:pPr>
        <w:pStyle w:val="Textkrper"/>
        <w:spacing w:before="10"/>
        <w:rPr>
          <w:sz w:val="23"/>
        </w:rPr>
      </w:pPr>
    </w:p>
    <w:p w:rsidR="009179C3" w:rsidRDefault="003A6209">
      <w:pPr>
        <w:pStyle w:val="Textkrper"/>
        <w:spacing w:before="1"/>
        <w:ind w:left="118"/>
      </w:pPr>
      <w:r>
        <w:t xml:space="preserve">In this respect, the Guidelines cover all operations by which personal data </w:t>
      </w:r>
      <w:proofErr w:type="gramStart"/>
      <w:r>
        <w:t>is processed</w:t>
      </w:r>
      <w:proofErr w:type="gramEnd"/>
      <w:r>
        <w:t>.</w:t>
      </w:r>
    </w:p>
    <w:p w:rsidR="009179C3" w:rsidRDefault="009179C3">
      <w:pPr>
        <w:pStyle w:val="Textkrper"/>
      </w:pPr>
    </w:p>
    <w:p w:rsidR="009179C3" w:rsidRDefault="003A6209">
      <w:pPr>
        <w:pStyle w:val="Textkrper"/>
        <w:ind w:left="118" w:right="296"/>
      </w:pPr>
      <w:r>
        <w:t xml:space="preserve">The individual companies of the Group are not, as a basic principle, entitled to put into place any regulations in deviation from these Data Protection Guidelines. Any amendments to these Data Protection Guidelines are only admissible in consultation with the executive board of Victor’s </w:t>
      </w:r>
      <w:proofErr w:type="spellStart"/>
      <w:r>
        <w:t>Bau</w:t>
      </w:r>
      <w:proofErr w:type="spellEnd"/>
      <w:r>
        <w:t xml:space="preserve"> + Wert AG and the corporate data protection officer.</w:t>
      </w:r>
    </w:p>
    <w:p w:rsidR="009179C3" w:rsidRDefault="009179C3">
      <w:pPr>
        <w:pStyle w:val="Textkrper"/>
      </w:pPr>
    </w:p>
    <w:p w:rsidR="009179C3" w:rsidRDefault="009179C3">
      <w:pPr>
        <w:pStyle w:val="Textkrper"/>
      </w:pPr>
    </w:p>
    <w:p w:rsidR="009179C3" w:rsidRDefault="009179C3">
      <w:pPr>
        <w:pStyle w:val="Textkrper"/>
        <w:spacing w:before="9"/>
        <w:rPr>
          <w:sz w:val="20"/>
        </w:rPr>
      </w:pPr>
    </w:p>
    <w:p w:rsidR="009179C3" w:rsidRDefault="003A6209">
      <w:pPr>
        <w:pStyle w:val="berschrift1"/>
        <w:numPr>
          <w:ilvl w:val="0"/>
          <w:numId w:val="1"/>
        </w:numPr>
        <w:tabs>
          <w:tab w:val="left" w:pos="474"/>
        </w:tabs>
        <w:ind w:hanging="355"/>
      </w:pPr>
      <w:bookmarkStart w:id="3" w:name="_TOC_250007"/>
      <w:r>
        <w:t>Legal bases for the processing of personal</w:t>
      </w:r>
      <w:r>
        <w:rPr>
          <w:spacing w:val="-18"/>
        </w:rPr>
        <w:t xml:space="preserve"> </w:t>
      </w:r>
      <w:bookmarkEnd w:id="3"/>
      <w:r>
        <w:t>data</w:t>
      </w:r>
    </w:p>
    <w:p w:rsidR="009179C3" w:rsidRDefault="003A6209">
      <w:pPr>
        <w:pStyle w:val="Textkrper"/>
        <w:spacing w:before="239"/>
        <w:ind w:left="118" w:right="363"/>
      </w:pPr>
      <w:r>
        <w:t xml:space="preserve">With effect from 25 May 2018, the legal bases for the processing of personal data are the European General Data Protection Regulation (GDPR) </w:t>
      </w:r>
      <w:proofErr w:type="gramStart"/>
      <w:r>
        <w:t>and also</w:t>
      </w:r>
      <w:proofErr w:type="gramEnd"/>
      <w:r>
        <w:t xml:space="preserve"> the new Federal Data Protection Act (BDSG-</w:t>
      </w:r>
      <w:proofErr w:type="spellStart"/>
      <w:r>
        <w:t>neu</w:t>
      </w:r>
      <w:proofErr w:type="spellEnd"/>
      <w:r>
        <w:t>).</w:t>
      </w:r>
    </w:p>
    <w:p w:rsidR="009179C3" w:rsidRDefault="009179C3">
      <w:pPr>
        <w:pStyle w:val="Textkrper"/>
        <w:spacing w:before="10"/>
        <w:rPr>
          <w:sz w:val="23"/>
        </w:rPr>
      </w:pPr>
    </w:p>
    <w:p w:rsidR="009179C3" w:rsidRDefault="003A6209">
      <w:pPr>
        <w:pStyle w:val="Textkrper"/>
        <w:spacing w:before="1"/>
        <w:ind w:left="118"/>
      </w:pPr>
      <w:r>
        <w:t>In cases of doubt, the GDPR takes precedence over the BDSG-</w:t>
      </w:r>
      <w:proofErr w:type="spellStart"/>
      <w:r>
        <w:t>neu</w:t>
      </w:r>
      <w:proofErr w:type="spellEnd"/>
      <w:r>
        <w:t>.</w:t>
      </w:r>
    </w:p>
    <w:p w:rsidR="009179C3" w:rsidRDefault="009179C3">
      <w:pPr>
        <w:pStyle w:val="Textkrper"/>
      </w:pPr>
    </w:p>
    <w:p w:rsidR="009179C3" w:rsidRDefault="003A6209">
      <w:pPr>
        <w:pStyle w:val="Textkrper"/>
        <w:ind w:left="118" w:right="97"/>
      </w:pPr>
      <w:r>
        <w:t xml:space="preserve">Regulations specific to certain </w:t>
      </w:r>
      <w:proofErr w:type="gramStart"/>
      <w:r>
        <w:t>sectors which are not displaced by the GDPR</w:t>
      </w:r>
      <w:proofErr w:type="gramEnd"/>
      <w:r>
        <w:t xml:space="preserve"> continue to take precedence over the provisions of BDSG-</w:t>
      </w:r>
      <w:proofErr w:type="spellStart"/>
      <w:r>
        <w:t>neu</w:t>
      </w:r>
      <w:proofErr w:type="spellEnd"/>
      <w:r>
        <w:t xml:space="preserve">. These include, for example, regulations of the </w:t>
      </w:r>
      <w:proofErr w:type="spellStart"/>
      <w:r>
        <w:t>Telekommunikationsgesetz</w:t>
      </w:r>
      <w:proofErr w:type="spellEnd"/>
      <w:r>
        <w:t xml:space="preserve"> (TKG) </w:t>
      </w:r>
      <w:r>
        <w:rPr>
          <w:i/>
        </w:rPr>
        <w:t>[Telecommunications Act]</w:t>
      </w:r>
      <w:r>
        <w:t xml:space="preserve">, the </w:t>
      </w:r>
      <w:proofErr w:type="spellStart"/>
      <w:r>
        <w:t>Gesetz</w:t>
      </w:r>
      <w:proofErr w:type="spellEnd"/>
      <w:r>
        <w:t xml:space="preserve"> </w:t>
      </w:r>
      <w:proofErr w:type="spellStart"/>
      <w:r>
        <w:t>gegen</w:t>
      </w:r>
      <w:proofErr w:type="spellEnd"/>
      <w:r>
        <w:t xml:space="preserve"> den </w:t>
      </w:r>
      <w:proofErr w:type="spellStart"/>
      <w:r>
        <w:t>unlauteren</w:t>
      </w:r>
      <w:proofErr w:type="spellEnd"/>
      <w:r>
        <w:t xml:space="preserve"> </w:t>
      </w:r>
      <w:proofErr w:type="spellStart"/>
      <w:r>
        <w:t>Wettbewerb</w:t>
      </w:r>
      <w:proofErr w:type="spellEnd"/>
      <w:r>
        <w:t xml:space="preserve"> (UWG) </w:t>
      </w:r>
      <w:r>
        <w:rPr>
          <w:i/>
        </w:rPr>
        <w:t xml:space="preserve">[Unfair Competition Act] </w:t>
      </w:r>
      <w:r>
        <w:t xml:space="preserve">and regulations of the </w:t>
      </w:r>
      <w:proofErr w:type="spellStart"/>
      <w:r>
        <w:t>Sozialgesetzbuch</w:t>
      </w:r>
      <w:proofErr w:type="spellEnd"/>
      <w:r>
        <w:t xml:space="preserve"> (SGB) </w:t>
      </w:r>
      <w:r>
        <w:rPr>
          <w:i/>
        </w:rPr>
        <w:t>[Social Security Code]</w:t>
      </w:r>
      <w:r>
        <w:t>.</w:t>
      </w:r>
    </w:p>
    <w:p w:rsidR="009179C3" w:rsidRDefault="009179C3">
      <w:pPr>
        <w:pStyle w:val="Textkrper"/>
      </w:pPr>
    </w:p>
    <w:p w:rsidR="009179C3" w:rsidRDefault="009179C3">
      <w:pPr>
        <w:pStyle w:val="Textkrper"/>
      </w:pPr>
    </w:p>
    <w:p w:rsidR="009179C3" w:rsidRDefault="009179C3">
      <w:pPr>
        <w:pStyle w:val="Textkrper"/>
      </w:pPr>
    </w:p>
    <w:p w:rsidR="009179C3" w:rsidRDefault="009179C3">
      <w:pPr>
        <w:pStyle w:val="Textkrper"/>
        <w:rPr>
          <w:sz w:val="21"/>
        </w:rPr>
      </w:pPr>
    </w:p>
    <w:p w:rsidR="009179C3" w:rsidRDefault="003A6209">
      <w:pPr>
        <w:pStyle w:val="berschrift1"/>
        <w:numPr>
          <w:ilvl w:val="0"/>
          <w:numId w:val="1"/>
        </w:numPr>
        <w:tabs>
          <w:tab w:val="left" w:pos="474"/>
        </w:tabs>
        <w:ind w:hanging="355"/>
      </w:pPr>
      <w:bookmarkStart w:id="4" w:name="_TOC_250006"/>
      <w:r>
        <w:t>Admissibility of the data</w:t>
      </w:r>
      <w:r>
        <w:rPr>
          <w:spacing w:val="-13"/>
        </w:rPr>
        <w:t xml:space="preserve"> </w:t>
      </w:r>
      <w:bookmarkEnd w:id="4"/>
      <w:r>
        <w:t>processing</w:t>
      </w:r>
    </w:p>
    <w:p w:rsidR="009179C3" w:rsidRDefault="003A6209">
      <w:pPr>
        <w:pStyle w:val="Textkrper"/>
        <w:spacing w:before="242"/>
        <w:ind w:left="118" w:right="204"/>
      </w:pPr>
      <w:r>
        <w:t xml:space="preserve">Pursuant to Art. </w:t>
      </w:r>
      <w:proofErr w:type="gramStart"/>
      <w:r>
        <w:t>5</w:t>
      </w:r>
      <w:proofErr w:type="gramEnd"/>
      <w:r>
        <w:t xml:space="preserve"> EU GDPR, personal data may only be collected for specified, explicit and legitimate purposes.</w:t>
      </w:r>
    </w:p>
    <w:p w:rsidR="009179C3" w:rsidRDefault="009179C3">
      <w:pPr>
        <w:sectPr w:rsidR="009179C3">
          <w:pgSz w:w="11900" w:h="16840"/>
          <w:pgMar w:top="1600" w:right="1040" w:bottom="900" w:left="1300" w:header="0" w:footer="716" w:gutter="0"/>
          <w:cols w:space="720"/>
        </w:sectPr>
      </w:pPr>
    </w:p>
    <w:p w:rsidR="009179C3" w:rsidRDefault="009179C3">
      <w:pPr>
        <w:pStyle w:val="Textkrper"/>
        <w:spacing w:before="1"/>
      </w:pPr>
    </w:p>
    <w:p w:rsidR="009179C3" w:rsidRDefault="003A6209">
      <w:pPr>
        <w:pStyle w:val="Textkrper"/>
        <w:spacing w:before="60"/>
        <w:ind w:left="118" w:right="430"/>
      </w:pPr>
      <w:r>
        <w:t xml:space="preserve">The so-called prohibition with reservation of grant of permission continues to apply in the GDPR. According to this, the processing of personal data is admissible if the following criteria </w:t>
      </w:r>
      <w:proofErr w:type="gramStart"/>
      <w:r>
        <w:t>are fulfilled</w:t>
      </w:r>
      <w:proofErr w:type="gramEnd"/>
      <w:r>
        <w:t>:</w:t>
      </w:r>
    </w:p>
    <w:p w:rsidR="009179C3" w:rsidRDefault="009179C3">
      <w:pPr>
        <w:pStyle w:val="Textkrper"/>
        <w:spacing w:before="11"/>
        <w:rPr>
          <w:sz w:val="23"/>
        </w:rPr>
      </w:pPr>
    </w:p>
    <w:p w:rsidR="009179C3" w:rsidRDefault="003A6209">
      <w:pPr>
        <w:pStyle w:val="Listenabsatz"/>
        <w:numPr>
          <w:ilvl w:val="1"/>
          <w:numId w:val="1"/>
        </w:numPr>
        <w:tabs>
          <w:tab w:val="left" w:pos="838"/>
          <w:tab w:val="left" w:pos="839"/>
        </w:tabs>
        <w:rPr>
          <w:sz w:val="24"/>
        </w:rPr>
      </w:pPr>
      <w:r>
        <w:rPr>
          <w:sz w:val="24"/>
        </w:rPr>
        <w:t>consent of the data subject has been</w:t>
      </w:r>
      <w:r>
        <w:rPr>
          <w:spacing w:val="-13"/>
          <w:sz w:val="24"/>
        </w:rPr>
        <w:t xml:space="preserve"> </w:t>
      </w:r>
      <w:r>
        <w:rPr>
          <w:sz w:val="24"/>
        </w:rPr>
        <w:t>given</w:t>
      </w:r>
    </w:p>
    <w:p w:rsidR="009179C3" w:rsidRDefault="009179C3">
      <w:pPr>
        <w:pStyle w:val="Textkrper"/>
        <w:spacing w:before="11"/>
        <w:rPr>
          <w:sz w:val="23"/>
        </w:rPr>
      </w:pPr>
    </w:p>
    <w:p w:rsidR="009179C3" w:rsidRDefault="003A6209">
      <w:pPr>
        <w:pStyle w:val="Listenabsatz"/>
        <w:numPr>
          <w:ilvl w:val="1"/>
          <w:numId w:val="1"/>
        </w:numPr>
        <w:tabs>
          <w:tab w:val="left" w:pos="838"/>
          <w:tab w:val="left" w:pos="839"/>
        </w:tabs>
        <w:rPr>
          <w:sz w:val="24"/>
        </w:rPr>
      </w:pPr>
      <w:r>
        <w:rPr>
          <w:sz w:val="24"/>
        </w:rPr>
        <w:t>processing is necessary for the performance of a</w:t>
      </w:r>
      <w:r>
        <w:rPr>
          <w:spacing w:val="-16"/>
          <w:sz w:val="24"/>
        </w:rPr>
        <w:t xml:space="preserve"> </w:t>
      </w:r>
      <w:r>
        <w:rPr>
          <w:sz w:val="24"/>
        </w:rPr>
        <w:t>contract</w:t>
      </w:r>
    </w:p>
    <w:p w:rsidR="009179C3" w:rsidRDefault="009179C3">
      <w:pPr>
        <w:pStyle w:val="Textkrper"/>
        <w:spacing w:before="11"/>
        <w:rPr>
          <w:sz w:val="23"/>
        </w:rPr>
      </w:pPr>
    </w:p>
    <w:p w:rsidR="009179C3" w:rsidRDefault="003A6209">
      <w:pPr>
        <w:pStyle w:val="Listenabsatz"/>
        <w:numPr>
          <w:ilvl w:val="1"/>
          <w:numId w:val="1"/>
        </w:numPr>
        <w:tabs>
          <w:tab w:val="left" w:pos="838"/>
          <w:tab w:val="left" w:pos="839"/>
        </w:tabs>
        <w:rPr>
          <w:sz w:val="24"/>
        </w:rPr>
      </w:pPr>
      <w:r>
        <w:rPr>
          <w:sz w:val="24"/>
        </w:rPr>
        <w:t>processing is necessary in order to take steps prior to entering into a</w:t>
      </w:r>
      <w:r>
        <w:rPr>
          <w:spacing w:val="-13"/>
          <w:sz w:val="24"/>
        </w:rPr>
        <w:t xml:space="preserve"> </w:t>
      </w:r>
      <w:r>
        <w:rPr>
          <w:sz w:val="24"/>
        </w:rPr>
        <w:t>contract</w:t>
      </w:r>
    </w:p>
    <w:p w:rsidR="009179C3" w:rsidRDefault="009179C3">
      <w:pPr>
        <w:pStyle w:val="Textkrper"/>
        <w:spacing w:before="11"/>
        <w:rPr>
          <w:sz w:val="23"/>
        </w:rPr>
      </w:pPr>
    </w:p>
    <w:p w:rsidR="009179C3" w:rsidRDefault="003A6209">
      <w:pPr>
        <w:pStyle w:val="Listenabsatz"/>
        <w:numPr>
          <w:ilvl w:val="1"/>
          <w:numId w:val="1"/>
        </w:numPr>
        <w:tabs>
          <w:tab w:val="left" w:pos="838"/>
          <w:tab w:val="left" w:pos="839"/>
        </w:tabs>
        <w:ind w:right="155"/>
        <w:rPr>
          <w:sz w:val="24"/>
        </w:rPr>
      </w:pPr>
      <w:r>
        <w:rPr>
          <w:sz w:val="24"/>
        </w:rPr>
        <w:t>processing is necessary to protect the legitimate interests of the controller or of a third party</w:t>
      </w:r>
    </w:p>
    <w:p w:rsidR="009179C3" w:rsidRDefault="009179C3">
      <w:pPr>
        <w:pStyle w:val="Textkrper"/>
        <w:spacing w:before="11"/>
        <w:rPr>
          <w:sz w:val="23"/>
        </w:rPr>
      </w:pPr>
    </w:p>
    <w:p w:rsidR="009179C3" w:rsidRDefault="003A6209">
      <w:pPr>
        <w:pStyle w:val="Textkrper"/>
        <w:ind w:left="118" w:right="349"/>
      </w:pPr>
      <w:r>
        <w:t xml:space="preserve">In order to ensure compliance with these principles, Victor's Group has drawn up a detailed data protection concept in which the principles of admissible data processing </w:t>
      </w:r>
      <w:proofErr w:type="gramStart"/>
      <w:r>
        <w:t>are specifically described</w:t>
      </w:r>
      <w:proofErr w:type="gramEnd"/>
      <w:r>
        <w:t>.</w:t>
      </w:r>
    </w:p>
    <w:p w:rsidR="009179C3" w:rsidRDefault="009179C3">
      <w:pPr>
        <w:pStyle w:val="Textkrper"/>
        <w:spacing w:before="11"/>
        <w:rPr>
          <w:sz w:val="23"/>
        </w:rPr>
      </w:pPr>
    </w:p>
    <w:p w:rsidR="009179C3" w:rsidRDefault="003A6209">
      <w:pPr>
        <w:pStyle w:val="Textkrper"/>
        <w:ind w:left="118" w:right="283"/>
      </w:pPr>
      <w:r>
        <w:t>The data protection concept also takes particular account of the following fundamental principles of data processing:</w:t>
      </w:r>
    </w:p>
    <w:p w:rsidR="009179C3" w:rsidRDefault="009179C3">
      <w:pPr>
        <w:pStyle w:val="Textkrper"/>
        <w:spacing w:before="11"/>
        <w:rPr>
          <w:sz w:val="23"/>
        </w:rPr>
      </w:pPr>
    </w:p>
    <w:p w:rsidR="009179C3" w:rsidRDefault="003A6209">
      <w:pPr>
        <w:pStyle w:val="Listenabsatz"/>
        <w:numPr>
          <w:ilvl w:val="1"/>
          <w:numId w:val="1"/>
        </w:numPr>
        <w:tabs>
          <w:tab w:val="left" w:pos="838"/>
          <w:tab w:val="left" w:pos="839"/>
        </w:tabs>
        <w:rPr>
          <w:sz w:val="24"/>
        </w:rPr>
      </w:pPr>
      <w:r>
        <w:rPr>
          <w:sz w:val="24"/>
        </w:rPr>
        <w:t>lawfulness</w:t>
      </w:r>
    </w:p>
    <w:p w:rsidR="009179C3" w:rsidRDefault="003A6209">
      <w:pPr>
        <w:pStyle w:val="Listenabsatz"/>
        <w:numPr>
          <w:ilvl w:val="1"/>
          <w:numId w:val="1"/>
        </w:numPr>
        <w:tabs>
          <w:tab w:val="left" w:pos="838"/>
          <w:tab w:val="left" w:pos="839"/>
        </w:tabs>
        <w:rPr>
          <w:sz w:val="24"/>
        </w:rPr>
      </w:pPr>
      <w:r>
        <w:rPr>
          <w:sz w:val="24"/>
        </w:rPr>
        <w:t>purpose</w:t>
      </w:r>
      <w:r>
        <w:rPr>
          <w:spacing w:val="-5"/>
          <w:sz w:val="24"/>
        </w:rPr>
        <w:t xml:space="preserve"> </w:t>
      </w:r>
      <w:r>
        <w:rPr>
          <w:sz w:val="24"/>
        </w:rPr>
        <w:t>limitation</w:t>
      </w:r>
    </w:p>
    <w:p w:rsidR="009179C3" w:rsidRDefault="003A6209">
      <w:pPr>
        <w:pStyle w:val="Listenabsatz"/>
        <w:numPr>
          <w:ilvl w:val="1"/>
          <w:numId w:val="1"/>
        </w:numPr>
        <w:tabs>
          <w:tab w:val="left" w:pos="838"/>
          <w:tab w:val="left" w:pos="839"/>
        </w:tabs>
        <w:rPr>
          <w:sz w:val="24"/>
        </w:rPr>
      </w:pPr>
      <w:r>
        <w:rPr>
          <w:sz w:val="24"/>
        </w:rPr>
        <w:t>transparency</w:t>
      </w:r>
    </w:p>
    <w:p w:rsidR="009179C3" w:rsidRDefault="003A6209">
      <w:pPr>
        <w:pStyle w:val="Listenabsatz"/>
        <w:numPr>
          <w:ilvl w:val="1"/>
          <w:numId w:val="1"/>
        </w:numPr>
        <w:tabs>
          <w:tab w:val="left" w:pos="838"/>
          <w:tab w:val="left" w:pos="839"/>
        </w:tabs>
        <w:rPr>
          <w:sz w:val="24"/>
        </w:rPr>
      </w:pPr>
      <w:r>
        <w:rPr>
          <w:sz w:val="24"/>
        </w:rPr>
        <w:t>data avoidance and data</w:t>
      </w:r>
      <w:r>
        <w:rPr>
          <w:spacing w:val="-6"/>
          <w:sz w:val="24"/>
        </w:rPr>
        <w:t xml:space="preserve"> </w:t>
      </w:r>
      <w:r>
        <w:rPr>
          <w:sz w:val="24"/>
        </w:rPr>
        <w:t>economy</w:t>
      </w:r>
    </w:p>
    <w:p w:rsidR="009179C3" w:rsidRDefault="003A6209">
      <w:pPr>
        <w:pStyle w:val="Listenabsatz"/>
        <w:numPr>
          <w:ilvl w:val="1"/>
          <w:numId w:val="1"/>
        </w:numPr>
        <w:tabs>
          <w:tab w:val="left" w:pos="838"/>
          <w:tab w:val="left" w:pos="839"/>
        </w:tabs>
        <w:spacing w:line="275" w:lineRule="exact"/>
        <w:rPr>
          <w:sz w:val="24"/>
        </w:rPr>
      </w:pPr>
      <w:r>
        <w:rPr>
          <w:sz w:val="24"/>
        </w:rPr>
        <w:t>erasure</w:t>
      </w:r>
    </w:p>
    <w:p w:rsidR="009179C3" w:rsidRDefault="003A6209">
      <w:pPr>
        <w:pStyle w:val="Listenabsatz"/>
        <w:numPr>
          <w:ilvl w:val="1"/>
          <w:numId w:val="1"/>
        </w:numPr>
        <w:tabs>
          <w:tab w:val="left" w:pos="838"/>
          <w:tab w:val="left" w:pos="839"/>
        </w:tabs>
        <w:spacing w:line="275" w:lineRule="exact"/>
        <w:rPr>
          <w:sz w:val="24"/>
        </w:rPr>
      </w:pPr>
      <w:r>
        <w:rPr>
          <w:sz w:val="24"/>
        </w:rPr>
        <w:t>material accuracy and data</w:t>
      </w:r>
      <w:r>
        <w:rPr>
          <w:spacing w:val="-3"/>
          <w:sz w:val="24"/>
        </w:rPr>
        <w:t xml:space="preserve"> </w:t>
      </w:r>
      <w:r>
        <w:rPr>
          <w:sz w:val="24"/>
        </w:rPr>
        <w:t>currency</w:t>
      </w:r>
    </w:p>
    <w:p w:rsidR="009179C3" w:rsidRDefault="003A6209">
      <w:pPr>
        <w:pStyle w:val="Listenabsatz"/>
        <w:numPr>
          <w:ilvl w:val="1"/>
          <w:numId w:val="1"/>
        </w:numPr>
        <w:tabs>
          <w:tab w:val="left" w:pos="838"/>
          <w:tab w:val="left" w:pos="839"/>
        </w:tabs>
        <w:rPr>
          <w:sz w:val="24"/>
        </w:rPr>
      </w:pPr>
      <w:r>
        <w:rPr>
          <w:sz w:val="24"/>
        </w:rPr>
        <w:t>confidentiality and data</w:t>
      </w:r>
      <w:r>
        <w:rPr>
          <w:spacing w:val="-8"/>
          <w:sz w:val="24"/>
        </w:rPr>
        <w:t xml:space="preserve"> </w:t>
      </w:r>
      <w:r>
        <w:rPr>
          <w:sz w:val="24"/>
        </w:rPr>
        <w:t>security</w:t>
      </w:r>
    </w:p>
    <w:p w:rsidR="009179C3" w:rsidRDefault="009179C3">
      <w:pPr>
        <w:pStyle w:val="Textkrper"/>
      </w:pPr>
    </w:p>
    <w:p w:rsidR="009179C3" w:rsidRDefault="009179C3">
      <w:pPr>
        <w:pStyle w:val="Textkrper"/>
      </w:pPr>
    </w:p>
    <w:p w:rsidR="009179C3" w:rsidRDefault="009179C3">
      <w:pPr>
        <w:pStyle w:val="Textkrper"/>
        <w:spacing w:before="9"/>
        <w:rPr>
          <w:sz w:val="20"/>
        </w:rPr>
      </w:pPr>
    </w:p>
    <w:p w:rsidR="009179C3" w:rsidRDefault="003A6209">
      <w:pPr>
        <w:pStyle w:val="berschrift1"/>
        <w:numPr>
          <w:ilvl w:val="0"/>
          <w:numId w:val="1"/>
        </w:numPr>
        <w:tabs>
          <w:tab w:val="left" w:pos="474"/>
        </w:tabs>
        <w:ind w:hanging="355"/>
      </w:pPr>
      <w:bookmarkStart w:id="5" w:name="_TOC_250005"/>
      <w:r>
        <w:t>The corporate data protection</w:t>
      </w:r>
      <w:r>
        <w:rPr>
          <w:spacing w:val="-17"/>
        </w:rPr>
        <w:t xml:space="preserve"> </w:t>
      </w:r>
      <w:bookmarkEnd w:id="5"/>
      <w:r>
        <w:t>officer</w:t>
      </w:r>
    </w:p>
    <w:p w:rsidR="009179C3" w:rsidRDefault="003A6209">
      <w:pPr>
        <w:pStyle w:val="Textkrper"/>
        <w:spacing w:before="242"/>
        <w:ind w:left="118"/>
      </w:pPr>
      <w:r>
        <w:t xml:space="preserve">The </w:t>
      </w:r>
      <w:proofErr w:type="gramStart"/>
      <w:r>
        <w:t xml:space="preserve">corporate data protection officer is appointed by the executive board of Victor’s </w:t>
      </w:r>
      <w:proofErr w:type="spellStart"/>
      <w:r>
        <w:t>Bau</w:t>
      </w:r>
      <w:proofErr w:type="spellEnd"/>
      <w:proofErr w:type="gramEnd"/>
    </w:p>
    <w:p w:rsidR="009179C3" w:rsidRDefault="003A6209">
      <w:pPr>
        <w:pStyle w:val="Textkrper"/>
        <w:ind w:left="118"/>
      </w:pPr>
      <w:r>
        <w:t xml:space="preserve">+ Wert AG pursuant to the provisions of Art. </w:t>
      </w:r>
      <w:proofErr w:type="gramStart"/>
      <w:r>
        <w:t>37</w:t>
      </w:r>
      <w:proofErr w:type="gramEnd"/>
      <w:r>
        <w:t xml:space="preserve"> EU GDPR and § 38 BDSG-</w:t>
      </w:r>
      <w:proofErr w:type="spellStart"/>
      <w:r>
        <w:t>neu</w:t>
      </w:r>
      <w:proofErr w:type="spellEnd"/>
      <w:r>
        <w:t>.</w:t>
      </w:r>
    </w:p>
    <w:p w:rsidR="009179C3" w:rsidRDefault="009179C3">
      <w:pPr>
        <w:pStyle w:val="Textkrper"/>
      </w:pPr>
    </w:p>
    <w:p w:rsidR="009179C3" w:rsidRDefault="003A6209">
      <w:pPr>
        <w:pStyle w:val="Textkrper"/>
        <w:ind w:left="118" w:right="403"/>
      </w:pPr>
      <w:r>
        <w:t>As an internal organ of the company not bound by technical directions, he works towards compliance with the applicable data protection provisions and is available to data subjects as a contact person in all issues associated with the processing of their personal data.</w:t>
      </w:r>
    </w:p>
    <w:p w:rsidR="009179C3" w:rsidRDefault="009179C3">
      <w:pPr>
        <w:pStyle w:val="Textkrper"/>
        <w:spacing w:before="11"/>
        <w:rPr>
          <w:sz w:val="23"/>
        </w:rPr>
      </w:pPr>
    </w:p>
    <w:p w:rsidR="009179C3" w:rsidRDefault="003A6209">
      <w:pPr>
        <w:pStyle w:val="Textkrper"/>
        <w:ind w:left="118" w:right="270"/>
      </w:pPr>
      <w:r>
        <w:t>The corporate data protection officer is likewise the point of contact for the competent supervisory authority and, upon request, works together with this authority in all issues associated with data processing.</w:t>
      </w:r>
    </w:p>
    <w:p w:rsidR="009179C3" w:rsidRDefault="003A6209">
      <w:pPr>
        <w:pStyle w:val="Textkrper"/>
        <w:spacing w:before="1" w:line="550" w:lineRule="atLeast"/>
        <w:ind w:left="118" w:right="2471"/>
      </w:pPr>
      <w:r>
        <w:t xml:space="preserve">The corporate data protection officer </w:t>
      </w:r>
      <w:proofErr w:type="gramStart"/>
      <w:r>
        <w:t>can be contacted</w:t>
      </w:r>
      <w:proofErr w:type="gramEnd"/>
      <w:r>
        <w:t xml:space="preserve"> as follows: Victor’s </w:t>
      </w:r>
      <w:proofErr w:type="spellStart"/>
      <w:r>
        <w:t>Bau</w:t>
      </w:r>
      <w:proofErr w:type="spellEnd"/>
      <w:r>
        <w:t xml:space="preserve"> + Wert AG</w:t>
      </w:r>
    </w:p>
    <w:p w:rsidR="009179C3" w:rsidRDefault="003A6209">
      <w:pPr>
        <w:pStyle w:val="Textkrper"/>
        <w:ind w:left="118" w:right="4687"/>
      </w:pPr>
      <w:r>
        <w:t xml:space="preserve">Corporate data protection officer Administrative offices </w:t>
      </w:r>
      <w:proofErr w:type="spellStart"/>
      <w:r>
        <w:t>Malstatter</w:t>
      </w:r>
      <w:proofErr w:type="spellEnd"/>
      <w:r>
        <w:t xml:space="preserve"> </w:t>
      </w:r>
      <w:proofErr w:type="spellStart"/>
      <w:r>
        <w:t>Markt</w:t>
      </w:r>
      <w:proofErr w:type="spellEnd"/>
      <w:r>
        <w:t xml:space="preserve"> 11-13</w:t>
      </w:r>
    </w:p>
    <w:p w:rsidR="009179C3" w:rsidRDefault="009179C3">
      <w:pPr>
        <w:sectPr w:rsidR="009179C3">
          <w:pgSz w:w="11900" w:h="16840"/>
          <w:pgMar w:top="1600" w:right="1040" w:bottom="900" w:left="1300" w:header="0" w:footer="716" w:gutter="0"/>
          <w:cols w:space="720"/>
        </w:sectPr>
      </w:pPr>
    </w:p>
    <w:p w:rsidR="009179C3" w:rsidRPr="00E92435" w:rsidRDefault="003A6209">
      <w:pPr>
        <w:pStyle w:val="Textkrper"/>
        <w:spacing w:before="61"/>
        <w:ind w:left="118"/>
        <w:rPr>
          <w:lang w:val="de-DE"/>
        </w:rPr>
      </w:pPr>
      <w:r w:rsidRPr="00E92435">
        <w:rPr>
          <w:lang w:val="de-DE"/>
        </w:rPr>
        <w:lastRenderedPageBreak/>
        <w:t>66115 Saarbrücken</w:t>
      </w:r>
    </w:p>
    <w:p w:rsidR="009179C3" w:rsidRPr="00E92435" w:rsidRDefault="009179C3">
      <w:pPr>
        <w:pStyle w:val="Textkrper"/>
        <w:spacing w:before="11"/>
        <w:rPr>
          <w:sz w:val="23"/>
          <w:lang w:val="de-DE"/>
        </w:rPr>
      </w:pPr>
    </w:p>
    <w:p w:rsidR="009179C3" w:rsidRPr="00E92435" w:rsidRDefault="003A6209">
      <w:pPr>
        <w:pStyle w:val="Textkrper"/>
        <w:ind w:left="118"/>
        <w:rPr>
          <w:lang w:val="de-DE"/>
        </w:rPr>
      </w:pPr>
      <w:r w:rsidRPr="00E92435">
        <w:rPr>
          <w:lang w:val="de-DE"/>
        </w:rPr>
        <w:t>Tel.: 0681 / 936130</w:t>
      </w:r>
    </w:p>
    <w:p w:rsidR="009179C3" w:rsidRPr="00E92435" w:rsidRDefault="003A6209">
      <w:pPr>
        <w:pStyle w:val="Textkrper"/>
        <w:ind w:left="118"/>
        <w:rPr>
          <w:lang w:val="de-DE"/>
        </w:rPr>
      </w:pPr>
      <w:proofErr w:type="spellStart"/>
      <w:r w:rsidRPr="00E92435">
        <w:rPr>
          <w:lang w:val="de-DE"/>
        </w:rPr>
        <w:t>E-mail</w:t>
      </w:r>
      <w:proofErr w:type="spellEnd"/>
      <w:r w:rsidRPr="00E92435">
        <w:rPr>
          <w:lang w:val="de-DE"/>
        </w:rPr>
        <w:t xml:space="preserve">: </w:t>
      </w:r>
      <w:r w:rsidR="005879CC" w:rsidRPr="005879CC">
        <w:t>datenschutz@victors-group.com</w:t>
      </w:r>
      <w:bookmarkStart w:id="6" w:name="_GoBack"/>
      <w:bookmarkEnd w:id="6"/>
    </w:p>
    <w:p w:rsidR="009179C3" w:rsidRPr="00E92435" w:rsidRDefault="009179C3">
      <w:pPr>
        <w:pStyle w:val="Textkrper"/>
        <w:rPr>
          <w:lang w:val="de-DE"/>
        </w:rPr>
      </w:pPr>
    </w:p>
    <w:p w:rsidR="009179C3" w:rsidRPr="00E92435" w:rsidRDefault="009179C3">
      <w:pPr>
        <w:pStyle w:val="Textkrper"/>
        <w:rPr>
          <w:lang w:val="de-DE"/>
        </w:rPr>
      </w:pPr>
    </w:p>
    <w:p w:rsidR="009179C3" w:rsidRPr="00E92435" w:rsidRDefault="009179C3">
      <w:pPr>
        <w:pStyle w:val="Textkrper"/>
        <w:spacing w:before="9"/>
        <w:rPr>
          <w:sz w:val="20"/>
          <w:lang w:val="de-DE"/>
        </w:rPr>
      </w:pPr>
    </w:p>
    <w:p w:rsidR="009179C3" w:rsidRDefault="003A6209">
      <w:pPr>
        <w:pStyle w:val="Listenabsatz"/>
        <w:numPr>
          <w:ilvl w:val="0"/>
          <w:numId w:val="1"/>
        </w:numPr>
        <w:tabs>
          <w:tab w:val="left" w:pos="474"/>
        </w:tabs>
        <w:ind w:hanging="355"/>
        <w:rPr>
          <w:b/>
          <w:sz w:val="32"/>
        </w:rPr>
      </w:pPr>
      <w:r>
        <w:rPr>
          <w:b/>
          <w:sz w:val="32"/>
        </w:rPr>
        <w:t>Rights of data</w:t>
      </w:r>
      <w:r>
        <w:rPr>
          <w:b/>
          <w:spacing w:val="-11"/>
          <w:sz w:val="32"/>
        </w:rPr>
        <w:t xml:space="preserve"> </w:t>
      </w:r>
      <w:r>
        <w:rPr>
          <w:b/>
          <w:sz w:val="32"/>
        </w:rPr>
        <w:t>subjects</w:t>
      </w:r>
    </w:p>
    <w:p w:rsidR="009179C3" w:rsidRDefault="003A6209">
      <w:pPr>
        <w:pStyle w:val="Textkrper"/>
        <w:spacing w:before="239"/>
        <w:ind w:left="118" w:right="863"/>
      </w:pPr>
      <w:r>
        <w:t xml:space="preserve">In accordance with the principle of transparency, any person affected by the data processing - the data subject </w:t>
      </w:r>
      <w:proofErr w:type="gramStart"/>
      <w:r>
        <w:t>- basically</w:t>
      </w:r>
      <w:proofErr w:type="gramEnd"/>
      <w:r>
        <w:t xml:space="preserve"> has a right to the following information:</w:t>
      </w:r>
    </w:p>
    <w:p w:rsidR="009179C3" w:rsidRDefault="009179C3">
      <w:pPr>
        <w:pStyle w:val="Textkrper"/>
        <w:spacing w:before="11"/>
        <w:rPr>
          <w:sz w:val="23"/>
        </w:rPr>
      </w:pPr>
    </w:p>
    <w:p w:rsidR="009179C3" w:rsidRDefault="003A6209">
      <w:pPr>
        <w:pStyle w:val="Listenabsatz"/>
        <w:numPr>
          <w:ilvl w:val="1"/>
          <w:numId w:val="1"/>
        </w:numPr>
        <w:tabs>
          <w:tab w:val="left" w:pos="838"/>
          <w:tab w:val="left" w:pos="839"/>
        </w:tabs>
        <w:rPr>
          <w:sz w:val="24"/>
        </w:rPr>
      </w:pPr>
      <w:r>
        <w:rPr>
          <w:sz w:val="24"/>
        </w:rPr>
        <w:t>contact details of the controller and of the data protection</w:t>
      </w:r>
      <w:r>
        <w:rPr>
          <w:spacing w:val="-17"/>
          <w:sz w:val="24"/>
        </w:rPr>
        <w:t xml:space="preserve"> </w:t>
      </w:r>
      <w:r>
        <w:rPr>
          <w:sz w:val="24"/>
        </w:rPr>
        <w:t>officer</w:t>
      </w:r>
    </w:p>
    <w:p w:rsidR="009179C3" w:rsidRDefault="003A6209">
      <w:pPr>
        <w:pStyle w:val="Listenabsatz"/>
        <w:numPr>
          <w:ilvl w:val="1"/>
          <w:numId w:val="1"/>
        </w:numPr>
        <w:tabs>
          <w:tab w:val="left" w:pos="838"/>
          <w:tab w:val="left" w:pos="839"/>
        </w:tabs>
        <w:rPr>
          <w:sz w:val="24"/>
        </w:rPr>
      </w:pPr>
      <w:r>
        <w:rPr>
          <w:sz w:val="24"/>
        </w:rPr>
        <w:t>purposes of the data</w:t>
      </w:r>
      <w:r>
        <w:rPr>
          <w:spacing w:val="-7"/>
          <w:sz w:val="24"/>
        </w:rPr>
        <w:t xml:space="preserve"> </w:t>
      </w:r>
      <w:r>
        <w:rPr>
          <w:sz w:val="24"/>
        </w:rPr>
        <w:t>processing</w:t>
      </w:r>
    </w:p>
    <w:p w:rsidR="009179C3" w:rsidRDefault="003A6209">
      <w:pPr>
        <w:pStyle w:val="Listenabsatz"/>
        <w:numPr>
          <w:ilvl w:val="1"/>
          <w:numId w:val="1"/>
        </w:numPr>
        <w:tabs>
          <w:tab w:val="left" w:pos="838"/>
          <w:tab w:val="left" w:pos="839"/>
        </w:tabs>
        <w:ind w:right="731"/>
        <w:rPr>
          <w:sz w:val="24"/>
        </w:rPr>
      </w:pPr>
      <w:r>
        <w:rPr>
          <w:sz w:val="24"/>
        </w:rPr>
        <w:t>legitimate interests of the controller or of a third party in performing the data processing</w:t>
      </w:r>
    </w:p>
    <w:p w:rsidR="009179C3" w:rsidRDefault="003A6209">
      <w:pPr>
        <w:pStyle w:val="Listenabsatz"/>
        <w:numPr>
          <w:ilvl w:val="1"/>
          <w:numId w:val="1"/>
        </w:numPr>
        <w:tabs>
          <w:tab w:val="left" w:pos="838"/>
          <w:tab w:val="left" w:pos="839"/>
        </w:tabs>
        <w:rPr>
          <w:sz w:val="24"/>
        </w:rPr>
      </w:pPr>
      <w:r>
        <w:rPr>
          <w:sz w:val="24"/>
        </w:rPr>
        <w:t>recipients or categories of recipients of personal</w:t>
      </w:r>
      <w:r>
        <w:rPr>
          <w:spacing w:val="-13"/>
          <w:sz w:val="24"/>
        </w:rPr>
        <w:t xml:space="preserve"> </w:t>
      </w:r>
      <w:r>
        <w:rPr>
          <w:sz w:val="24"/>
        </w:rPr>
        <w:t>data</w:t>
      </w:r>
    </w:p>
    <w:p w:rsidR="009179C3" w:rsidRDefault="003A6209">
      <w:pPr>
        <w:pStyle w:val="Listenabsatz"/>
        <w:numPr>
          <w:ilvl w:val="1"/>
          <w:numId w:val="1"/>
        </w:numPr>
        <w:tabs>
          <w:tab w:val="left" w:pos="838"/>
          <w:tab w:val="left" w:pos="839"/>
        </w:tabs>
        <w:rPr>
          <w:sz w:val="24"/>
        </w:rPr>
      </w:pPr>
      <w:r>
        <w:rPr>
          <w:sz w:val="24"/>
        </w:rPr>
        <w:t>transmission of data to a third</w:t>
      </w:r>
      <w:r>
        <w:rPr>
          <w:spacing w:val="-11"/>
          <w:sz w:val="24"/>
        </w:rPr>
        <w:t xml:space="preserve"> </w:t>
      </w:r>
      <w:r>
        <w:rPr>
          <w:sz w:val="24"/>
        </w:rPr>
        <w:t>country</w:t>
      </w:r>
    </w:p>
    <w:p w:rsidR="009179C3" w:rsidRDefault="003A6209">
      <w:pPr>
        <w:pStyle w:val="Listenabsatz"/>
        <w:numPr>
          <w:ilvl w:val="1"/>
          <w:numId w:val="1"/>
        </w:numPr>
        <w:tabs>
          <w:tab w:val="left" w:pos="838"/>
          <w:tab w:val="left" w:pos="839"/>
        </w:tabs>
        <w:rPr>
          <w:sz w:val="24"/>
        </w:rPr>
      </w:pPr>
      <w:r>
        <w:rPr>
          <w:sz w:val="24"/>
        </w:rPr>
        <w:t>period for which the personal data will be</w:t>
      </w:r>
      <w:r>
        <w:rPr>
          <w:spacing w:val="-10"/>
          <w:sz w:val="24"/>
        </w:rPr>
        <w:t xml:space="preserve"> </w:t>
      </w:r>
      <w:r>
        <w:rPr>
          <w:sz w:val="24"/>
        </w:rPr>
        <w:t>stored</w:t>
      </w:r>
    </w:p>
    <w:p w:rsidR="009179C3" w:rsidRDefault="003A6209">
      <w:pPr>
        <w:pStyle w:val="Listenabsatz"/>
        <w:numPr>
          <w:ilvl w:val="1"/>
          <w:numId w:val="1"/>
        </w:numPr>
        <w:tabs>
          <w:tab w:val="left" w:pos="838"/>
          <w:tab w:val="left" w:pos="839"/>
        </w:tabs>
        <w:rPr>
          <w:sz w:val="24"/>
        </w:rPr>
      </w:pPr>
      <w:r>
        <w:rPr>
          <w:sz w:val="24"/>
        </w:rPr>
        <w:t>existence of rights to</w:t>
      </w:r>
      <w:r>
        <w:rPr>
          <w:spacing w:val="-10"/>
          <w:sz w:val="24"/>
        </w:rPr>
        <w:t xml:space="preserve"> </w:t>
      </w:r>
      <w:r>
        <w:rPr>
          <w:sz w:val="24"/>
        </w:rPr>
        <w:t>information</w:t>
      </w:r>
    </w:p>
    <w:p w:rsidR="009179C3" w:rsidRDefault="003A6209">
      <w:pPr>
        <w:pStyle w:val="Listenabsatz"/>
        <w:numPr>
          <w:ilvl w:val="1"/>
          <w:numId w:val="1"/>
        </w:numPr>
        <w:tabs>
          <w:tab w:val="left" w:pos="838"/>
          <w:tab w:val="left" w:pos="839"/>
        </w:tabs>
        <w:ind w:right="479"/>
        <w:rPr>
          <w:sz w:val="24"/>
        </w:rPr>
      </w:pPr>
      <w:r>
        <w:rPr>
          <w:sz w:val="24"/>
        </w:rPr>
        <w:t>existence of rights to rectification, erasure, restriction of processing, objection, data</w:t>
      </w:r>
      <w:r>
        <w:rPr>
          <w:spacing w:val="-3"/>
          <w:sz w:val="24"/>
        </w:rPr>
        <w:t xml:space="preserve"> </w:t>
      </w:r>
      <w:r>
        <w:rPr>
          <w:sz w:val="24"/>
        </w:rPr>
        <w:t>portability</w:t>
      </w:r>
    </w:p>
    <w:p w:rsidR="009179C3" w:rsidRDefault="003A6209">
      <w:pPr>
        <w:pStyle w:val="Listenabsatz"/>
        <w:numPr>
          <w:ilvl w:val="1"/>
          <w:numId w:val="1"/>
        </w:numPr>
        <w:tabs>
          <w:tab w:val="left" w:pos="838"/>
          <w:tab w:val="left" w:pos="839"/>
        </w:tabs>
        <w:rPr>
          <w:sz w:val="24"/>
        </w:rPr>
      </w:pPr>
      <w:r>
        <w:rPr>
          <w:sz w:val="24"/>
        </w:rPr>
        <w:t>right to lodge a complaint with supervisory</w:t>
      </w:r>
      <w:r>
        <w:rPr>
          <w:spacing w:val="-13"/>
          <w:sz w:val="24"/>
        </w:rPr>
        <w:t xml:space="preserve"> </w:t>
      </w:r>
      <w:r>
        <w:rPr>
          <w:sz w:val="24"/>
        </w:rPr>
        <w:t>authorities</w:t>
      </w:r>
    </w:p>
    <w:p w:rsidR="009179C3" w:rsidRDefault="003A6209">
      <w:pPr>
        <w:pStyle w:val="Listenabsatz"/>
        <w:numPr>
          <w:ilvl w:val="1"/>
          <w:numId w:val="1"/>
        </w:numPr>
        <w:tabs>
          <w:tab w:val="left" w:pos="838"/>
          <w:tab w:val="left" w:pos="839"/>
        </w:tabs>
        <w:rPr>
          <w:sz w:val="24"/>
        </w:rPr>
      </w:pPr>
      <w:r>
        <w:rPr>
          <w:sz w:val="24"/>
        </w:rPr>
        <w:t>the existence of any automated decision making, including</w:t>
      </w:r>
      <w:r>
        <w:rPr>
          <w:spacing w:val="-16"/>
          <w:sz w:val="24"/>
        </w:rPr>
        <w:t xml:space="preserve"> </w:t>
      </w:r>
      <w:r>
        <w:rPr>
          <w:sz w:val="24"/>
        </w:rPr>
        <w:t>profiling</w:t>
      </w:r>
    </w:p>
    <w:p w:rsidR="009179C3" w:rsidRDefault="009179C3">
      <w:pPr>
        <w:pStyle w:val="Textkrper"/>
      </w:pPr>
    </w:p>
    <w:p w:rsidR="009179C3" w:rsidRDefault="009179C3">
      <w:pPr>
        <w:pStyle w:val="Textkrper"/>
      </w:pPr>
    </w:p>
    <w:p w:rsidR="009179C3" w:rsidRDefault="009179C3">
      <w:pPr>
        <w:pStyle w:val="Textkrper"/>
        <w:spacing w:before="9"/>
        <w:rPr>
          <w:sz w:val="20"/>
        </w:rPr>
      </w:pPr>
    </w:p>
    <w:p w:rsidR="009179C3" w:rsidRDefault="003A6209">
      <w:pPr>
        <w:pStyle w:val="berschrift1"/>
        <w:numPr>
          <w:ilvl w:val="0"/>
          <w:numId w:val="1"/>
        </w:numPr>
        <w:tabs>
          <w:tab w:val="left" w:pos="474"/>
        </w:tabs>
        <w:ind w:hanging="355"/>
      </w:pPr>
      <w:bookmarkStart w:id="7" w:name="_TOC_250004"/>
      <w:r>
        <w:t>Confidentiality of the data</w:t>
      </w:r>
      <w:r>
        <w:rPr>
          <w:spacing w:val="-17"/>
        </w:rPr>
        <w:t xml:space="preserve"> </w:t>
      </w:r>
      <w:bookmarkEnd w:id="7"/>
      <w:r>
        <w:t>processing</w:t>
      </w:r>
    </w:p>
    <w:p w:rsidR="009179C3" w:rsidRDefault="003A6209">
      <w:pPr>
        <w:pStyle w:val="Textkrper"/>
        <w:spacing w:before="239"/>
        <w:ind w:left="118" w:right="151"/>
      </w:pPr>
      <w:r>
        <w:t xml:space="preserve">Personal data </w:t>
      </w:r>
      <w:proofErr w:type="gramStart"/>
      <w:r>
        <w:t>may only be processed</w:t>
      </w:r>
      <w:proofErr w:type="gramEnd"/>
      <w:r>
        <w:t xml:space="preserve"> on the instructions of the responsible persons. The persons in Victor's Group who are involved in data processing </w:t>
      </w:r>
      <w:proofErr w:type="gramStart"/>
      <w:r>
        <w:t>will, when they take up their appointments, be placed</w:t>
      </w:r>
      <w:proofErr w:type="gramEnd"/>
      <w:r>
        <w:t xml:space="preserve"> under a commitment to observe data protection and maintain data confidentiality. This commitment continues to apply following the end of the employment relationship.</w:t>
      </w:r>
    </w:p>
    <w:p w:rsidR="009179C3" w:rsidRDefault="009179C3">
      <w:pPr>
        <w:pStyle w:val="Textkrper"/>
      </w:pPr>
    </w:p>
    <w:p w:rsidR="009179C3" w:rsidRDefault="009179C3">
      <w:pPr>
        <w:pStyle w:val="Textkrper"/>
      </w:pPr>
    </w:p>
    <w:p w:rsidR="009179C3" w:rsidRDefault="009179C3">
      <w:pPr>
        <w:pStyle w:val="Textkrper"/>
        <w:spacing w:before="9"/>
        <w:rPr>
          <w:sz w:val="20"/>
        </w:rPr>
      </w:pPr>
    </w:p>
    <w:p w:rsidR="009179C3" w:rsidRDefault="003A6209">
      <w:pPr>
        <w:pStyle w:val="berschrift1"/>
        <w:numPr>
          <w:ilvl w:val="0"/>
          <w:numId w:val="1"/>
        </w:numPr>
        <w:tabs>
          <w:tab w:val="left" w:pos="474"/>
        </w:tabs>
        <w:ind w:hanging="355"/>
      </w:pPr>
      <w:bookmarkStart w:id="8" w:name="_TOC_250003"/>
      <w:r>
        <w:t>Security of the data</w:t>
      </w:r>
      <w:r>
        <w:rPr>
          <w:spacing w:val="-13"/>
        </w:rPr>
        <w:t xml:space="preserve"> </w:t>
      </w:r>
      <w:bookmarkEnd w:id="8"/>
      <w:r>
        <w:t>processing</w:t>
      </w:r>
    </w:p>
    <w:p w:rsidR="009179C3" w:rsidRDefault="003A6209">
      <w:pPr>
        <w:pStyle w:val="Textkrper"/>
        <w:spacing w:before="239"/>
        <w:ind w:left="118" w:right="716"/>
      </w:pPr>
      <w:r>
        <w:t xml:space="preserve">Personal data is at all times to be protected against </w:t>
      </w:r>
      <w:proofErr w:type="spellStart"/>
      <w:r>
        <w:t>unauthorised</w:t>
      </w:r>
      <w:proofErr w:type="spellEnd"/>
      <w:r>
        <w:t xml:space="preserve"> access, unlawful processing or forwarding, </w:t>
      </w:r>
      <w:proofErr w:type="gramStart"/>
      <w:r>
        <w:t>and also</w:t>
      </w:r>
      <w:proofErr w:type="gramEnd"/>
      <w:r>
        <w:t xml:space="preserve"> against loss, falsification or destruction.</w:t>
      </w:r>
    </w:p>
    <w:p w:rsidR="009179C3" w:rsidRDefault="009179C3">
      <w:pPr>
        <w:pStyle w:val="Textkrper"/>
        <w:spacing w:before="11"/>
        <w:rPr>
          <w:sz w:val="23"/>
        </w:rPr>
      </w:pPr>
    </w:p>
    <w:p w:rsidR="009179C3" w:rsidRDefault="003A6209">
      <w:pPr>
        <w:pStyle w:val="Textkrper"/>
        <w:ind w:left="118" w:right="97"/>
      </w:pPr>
      <w:r>
        <w:t xml:space="preserve">Taking into account the state of technology, the costs of implementation and the nature, scope, circumstances and purposes of the processing as well as the varying likelihood and seriousness of the risk for the rights and freedoms of natural persons, appropriate technical and </w:t>
      </w:r>
      <w:proofErr w:type="spellStart"/>
      <w:r>
        <w:t>organisational</w:t>
      </w:r>
      <w:proofErr w:type="spellEnd"/>
      <w:r>
        <w:t xml:space="preserve"> measures are taken by Victor's Group in order to guarantee a commensurate level of protection.</w:t>
      </w:r>
    </w:p>
    <w:p w:rsidR="009179C3" w:rsidRDefault="009179C3">
      <w:pPr>
        <w:pStyle w:val="Textkrper"/>
      </w:pPr>
    </w:p>
    <w:p w:rsidR="009179C3" w:rsidRDefault="003A6209">
      <w:pPr>
        <w:pStyle w:val="Textkrper"/>
        <w:ind w:left="118" w:right="223"/>
      </w:pPr>
      <w:r>
        <w:t xml:space="preserve">The individual measures </w:t>
      </w:r>
      <w:proofErr w:type="gramStart"/>
      <w:r>
        <w:t>are described</w:t>
      </w:r>
      <w:proofErr w:type="gramEnd"/>
      <w:r>
        <w:t xml:space="preserve"> in detail in the respectively valid data protection concept.</w:t>
      </w:r>
    </w:p>
    <w:p w:rsidR="009179C3" w:rsidRDefault="009179C3">
      <w:pPr>
        <w:sectPr w:rsidR="009179C3">
          <w:pgSz w:w="11900" w:h="16840"/>
          <w:pgMar w:top="1600" w:right="1020" w:bottom="900" w:left="1300" w:header="0" w:footer="716" w:gutter="0"/>
          <w:cols w:space="720"/>
        </w:sectPr>
      </w:pPr>
    </w:p>
    <w:p w:rsidR="009179C3" w:rsidRDefault="009179C3">
      <w:pPr>
        <w:pStyle w:val="Textkrper"/>
        <w:rPr>
          <w:sz w:val="20"/>
        </w:rPr>
      </w:pPr>
    </w:p>
    <w:p w:rsidR="009179C3" w:rsidRDefault="009179C3">
      <w:pPr>
        <w:pStyle w:val="Textkrper"/>
        <w:rPr>
          <w:sz w:val="20"/>
        </w:rPr>
      </w:pPr>
    </w:p>
    <w:p w:rsidR="009179C3" w:rsidRDefault="009179C3">
      <w:pPr>
        <w:pStyle w:val="Textkrper"/>
        <w:rPr>
          <w:sz w:val="20"/>
        </w:rPr>
      </w:pPr>
    </w:p>
    <w:p w:rsidR="009179C3" w:rsidRDefault="003A6209">
      <w:pPr>
        <w:pStyle w:val="berschrift1"/>
        <w:numPr>
          <w:ilvl w:val="0"/>
          <w:numId w:val="1"/>
        </w:numPr>
        <w:tabs>
          <w:tab w:val="left" w:pos="474"/>
        </w:tabs>
        <w:spacing w:before="162"/>
        <w:ind w:hanging="355"/>
      </w:pPr>
      <w:bookmarkStart w:id="9" w:name="_TOC_250002"/>
      <w:r>
        <w:t>Monitoring of data</w:t>
      </w:r>
      <w:r>
        <w:rPr>
          <w:spacing w:val="-13"/>
        </w:rPr>
        <w:t xml:space="preserve"> </w:t>
      </w:r>
      <w:bookmarkEnd w:id="9"/>
      <w:r>
        <w:t>protection</w:t>
      </w:r>
    </w:p>
    <w:p w:rsidR="009179C3" w:rsidRDefault="003A6209">
      <w:pPr>
        <w:pStyle w:val="Textkrper"/>
        <w:spacing w:before="239"/>
        <w:ind w:left="118" w:right="176"/>
      </w:pPr>
      <w:r>
        <w:t xml:space="preserve">Compliance with the Data Protection Guidelines and with the applicable data protection laws </w:t>
      </w:r>
      <w:proofErr w:type="gramStart"/>
      <w:r>
        <w:t>is regularly monitored</w:t>
      </w:r>
      <w:proofErr w:type="gramEnd"/>
      <w:r>
        <w:t xml:space="preserve"> by data protection checks.</w:t>
      </w:r>
    </w:p>
    <w:p w:rsidR="009179C3" w:rsidRDefault="003A6209">
      <w:pPr>
        <w:pStyle w:val="Textkrper"/>
        <w:ind w:left="118" w:right="366"/>
        <w:jc w:val="both"/>
      </w:pPr>
      <w:r>
        <w:t>The performance of these checks is the responsibility of the corporate data protection officer and further company divisions equipped with monitoring rights, in particular the EDP section as well as external auditors commissioned by us.</w:t>
      </w:r>
    </w:p>
    <w:p w:rsidR="009179C3" w:rsidRDefault="009179C3">
      <w:pPr>
        <w:pStyle w:val="Textkrper"/>
      </w:pPr>
    </w:p>
    <w:p w:rsidR="009179C3" w:rsidRDefault="003A6209">
      <w:pPr>
        <w:pStyle w:val="Textkrper"/>
        <w:ind w:left="118" w:right="211"/>
      </w:pPr>
      <w:r>
        <w:t xml:space="preserve">The results of the data protection checks are to </w:t>
      </w:r>
      <w:proofErr w:type="gramStart"/>
      <w:r>
        <w:t>be notified</w:t>
      </w:r>
      <w:proofErr w:type="gramEnd"/>
      <w:r>
        <w:t xml:space="preserve"> to the corporate data protection officer. The supervisory board of Victor’s </w:t>
      </w:r>
      <w:proofErr w:type="spellStart"/>
      <w:r>
        <w:t>Bau</w:t>
      </w:r>
      <w:proofErr w:type="spellEnd"/>
      <w:r>
        <w:t xml:space="preserve"> + Wert AG is to </w:t>
      </w:r>
      <w:proofErr w:type="gramStart"/>
      <w:r>
        <w:t>be informed</w:t>
      </w:r>
      <w:proofErr w:type="gramEnd"/>
      <w:r>
        <w:t xml:space="preserve"> of any significant results within the scope of the respective reporting obligations.</w:t>
      </w:r>
    </w:p>
    <w:p w:rsidR="009179C3" w:rsidRDefault="009179C3">
      <w:pPr>
        <w:pStyle w:val="Textkrper"/>
        <w:spacing w:before="11"/>
        <w:rPr>
          <w:sz w:val="23"/>
        </w:rPr>
      </w:pPr>
    </w:p>
    <w:p w:rsidR="009179C3" w:rsidRDefault="003A6209">
      <w:pPr>
        <w:pStyle w:val="Textkrper"/>
        <w:ind w:left="118" w:right="84"/>
      </w:pPr>
      <w:r>
        <w:t xml:space="preserve">Upon application, the results of data protection checks are to </w:t>
      </w:r>
      <w:proofErr w:type="gramStart"/>
      <w:r>
        <w:t>be provided</w:t>
      </w:r>
      <w:proofErr w:type="gramEnd"/>
      <w:r>
        <w:t xml:space="preserve"> to the competent data protection supervisory authority. The competent data protection supervisor y authority </w:t>
      </w:r>
      <w:proofErr w:type="gramStart"/>
      <w:r>
        <w:t>may also, within the scope of its statutory powers, perform</w:t>
      </w:r>
      <w:proofErr w:type="gramEnd"/>
      <w:r>
        <w:t xml:space="preserve"> its own checks on compliance with the data protection provisions.</w:t>
      </w:r>
    </w:p>
    <w:p w:rsidR="009179C3" w:rsidRDefault="009179C3">
      <w:pPr>
        <w:pStyle w:val="Textkrper"/>
      </w:pPr>
    </w:p>
    <w:p w:rsidR="009179C3" w:rsidRDefault="009179C3">
      <w:pPr>
        <w:pStyle w:val="Textkrper"/>
      </w:pPr>
    </w:p>
    <w:p w:rsidR="009179C3" w:rsidRDefault="009179C3">
      <w:pPr>
        <w:pStyle w:val="Textkrper"/>
        <w:spacing w:before="9"/>
        <w:rPr>
          <w:sz w:val="20"/>
        </w:rPr>
      </w:pPr>
    </w:p>
    <w:p w:rsidR="009179C3" w:rsidRDefault="003A6209">
      <w:pPr>
        <w:pStyle w:val="berschrift1"/>
        <w:numPr>
          <w:ilvl w:val="0"/>
          <w:numId w:val="1"/>
        </w:numPr>
        <w:tabs>
          <w:tab w:val="left" w:pos="652"/>
        </w:tabs>
        <w:ind w:left="651" w:hanging="533"/>
      </w:pPr>
      <w:bookmarkStart w:id="10" w:name="_TOC_250001"/>
      <w:r>
        <w:t>Data protection</w:t>
      </w:r>
      <w:r>
        <w:rPr>
          <w:spacing w:val="-13"/>
        </w:rPr>
        <w:t xml:space="preserve"> </w:t>
      </w:r>
      <w:bookmarkEnd w:id="10"/>
      <w:r>
        <w:t>incidents</w:t>
      </w:r>
    </w:p>
    <w:p w:rsidR="009179C3" w:rsidRDefault="003A6209">
      <w:pPr>
        <w:pStyle w:val="Textkrper"/>
        <w:spacing w:before="239"/>
        <w:ind w:left="118" w:right="603"/>
      </w:pPr>
      <w:r>
        <w:t>In cases of any breaches of these Data Protection Guidelines or of other provisions governing the protection of personal data, the competent line manager and/or the corporate data protection officer is to be informed without delay so that, where appropriate, the company can properly comply with its statutory duty to report data protection incidents.</w:t>
      </w:r>
    </w:p>
    <w:p w:rsidR="009179C3" w:rsidRDefault="009179C3">
      <w:pPr>
        <w:pStyle w:val="Textkrper"/>
      </w:pPr>
    </w:p>
    <w:p w:rsidR="009179C3" w:rsidRDefault="009179C3">
      <w:pPr>
        <w:pStyle w:val="Textkrper"/>
      </w:pPr>
    </w:p>
    <w:p w:rsidR="009179C3" w:rsidRDefault="009179C3">
      <w:pPr>
        <w:pStyle w:val="Textkrper"/>
        <w:spacing w:before="8"/>
        <w:rPr>
          <w:sz w:val="20"/>
        </w:rPr>
      </w:pPr>
    </w:p>
    <w:p w:rsidR="009179C3" w:rsidRDefault="003A6209">
      <w:pPr>
        <w:pStyle w:val="berschrift1"/>
        <w:numPr>
          <w:ilvl w:val="0"/>
          <w:numId w:val="1"/>
        </w:numPr>
        <w:tabs>
          <w:tab w:val="left" w:pos="652"/>
        </w:tabs>
        <w:ind w:left="651" w:hanging="533"/>
      </w:pPr>
      <w:bookmarkStart w:id="11" w:name="_TOC_250000"/>
      <w:r>
        <w:t>Responsibilities and</w:t>
      </w:r>
      <w:r>
        <w:rPr>
          <w:spacing w:val="-11"/>
        </w:rPr>
        <w:t xml:space="preserve"> </w:t>
      </w:r>
      <w:bookmarkEnd w:id="11"/>
      <w:r>
        <w:t>sanctions</w:t>
      </w:r>
    </w:p>
    <w:p w:rsidR="009179C3" w:rsidRDefault="003A6209">
      <w:pPr>
        <w:pStyle w:val="Textkrper"/>
        <w:spacing w:before="239"/>
        <w:ind w:left="118" w:right="1270"/>
      </w:pPr>
      <w:r>
        <w:t>The bodies responsible for the data processing are the executive boards and managements of the group companies.</w:t>
      </w:r>
    </w:p>
    <w:p w:rsidR="009179C3" w:rsidRDefault="009179C3">
      <w:pPr>
        <w:pStyle w:val="Textkrper"/>
        <w:spacing w:before="11"/>
        <w:rPr>
          <w:sz w:val="23"/>
        </w:rPr>
      </w:pPr>
    </w:p>
    <w:p w:rsidR="009179C3" w:rsidRDefault="003A6209">
      <w:pPr>
        <w:pStyle w:val="Textkrper"/>
        <w:ind w:left="118" w:right="589"/>
      </w:pPr>
      <w:r>
        <w:t xml:space="preserve">These are under an obligation to ensure that the requirements as to data protection prescribed by law and contained in the Data Protection Guidelines </w:t>
      </w:r>
      <w:proofErr w:type="gramStart"/>
      <w:r>
        <w:t>are taken</w:t>
      </w:r>
      <w:proofErr w:type="gramEnd"/>
      <w:r>
        <w:t xml:space="preserve"> into account.</w:t>
      </w:r>
    </w:p>
    <w:p w:rsidR="009179C3" w:rsidRDefault="003A6209">
      <w:pPr>
        <w:pStyle w:val="Textkrper"/>
        <w:ind w:left="118" w:right="137"/>
      </w:pPr>
      <w:r>
        <w:t>The implementation of these requirements lies within the responsibility of the respective competent staff.</w:t>
      </w:r>
    </w:p>
    <w:p w:rsidR="009179C3" w:rsidRDefault="009179C3">
      <w:pPr>
        <w:pStyle w:val="Textkrper"/>
      </w:pPr>
    </w:p>
    <w:p w:rsidR="009179C3" w:rsidRDefault="003A6209">
      <w:pPr>
        <w:pStyle w:val="Textkrper"/>
        <w:ind w:left="118" w:right="1096"/>
      </w:pPr>
      <w:r>
        <w:t xml:space="preserve">Should </w:t>
      </w:r>
      <w:proofErr w:type="gramStart"/>
      <w:r>
        <w:t>data protection checks be carried out by authorities</w:t>
      </w:r>
      <w:proofErr w:type="gramEnd"/>
      <w:r>
        <w:t>, the corporate data protection officer is to be informed immediately.</w:t>
      </w:r>
    </w:p>
    <w:p w:rsidR="009179C3" w:rsidRDefault="009179C3">
      <w:pPr>
        <w:pStyle w:val="Textkrper"/>
        <w:spacing w:before="11"/>
        <w:rPr>
          <w:sz w:val="23"/>
        </w:rPr>
      </w:pPr>
    </w:p>
    <w:p w:rsidR="009179C3" w:rsidRDefault="003A6209">
      <w:pPr>
        <w:pStyle w:val="Textkrper"/>
        <w:ind w:left="118" w:right="110"/>
      </w:pPr>
      <w:r>
        <w:t xml:space="preserve">Where data processing operations </w:t>
      </w:r>
      <w:proofErr w:type="gramStart"/>
      <w:r>
        <w:t>are planned</w:t>
      </w:r>
      <w:proofErr w:type="gramEnd"/>
      <w:r>
        <w:t xml:space="preserve"> which could entail particular risks for the personality rights of data subjects, the corporate data protection officer is already to be involved prior to the commencement of the processing.</w:t>
      </w:r>
    </w:p>
    <w:p w:rsidR="009179C3" w:rsidRDefault="009179C3">
      <w:pPr>
        <w:sectPr w:rsidR="009179C3">
          <w:pgSz w:w="11900" w:h="16840"/>
          <w:pgMar w:top="1600" w:right="1040" w:bottom="900" w:left="1300" w:header="0" w:footer="716" w:gutter="0"/>
          <w:cols w:space="720"/>
        </w:sectPr>
      </w:pPr>
    </w:p>
    <w:p w:rsidR="009179C3" w:rsidRDefault="003A6209">
      <w:pPr>
        <w:pStyle w:val="Textkrper"/>
        <w:spacing w:before="61"/>
        <w:ind w:left="118" w:right="197"/>
      </w:pPr>
      <w:r>
        <w:lastRenderedPageBreak/>
        <w:t>Any improper processing of personal data or other breaches of applicable data protection law may result in criminal prosecution or lead to claims for damages. Contraventions for which individual members of staff are responsible may also lead to sanctions under the terms of their employment.</w:t>
      </w:r>
    </w:p>
    <w:p w:rsidR="00AF11B1" w:rsidRDefault="00AF11B1">
      <w:pPr>
        <w:pStyle w:val="Textkrper"/>
        <w:spacing w:before="61"/>
        <w:ind w:left="118" w:right="197"/>
      </w:pPr>
    </w:p>
    <w:p w:rsidR="00AF11B1" w:rsidRDefault="00AF11B1">
      <w:pPr>
        <w:pStyle w:val="Textkrper"/>
        <w:spacing w:before="61"/>
        <w:ind w:left="118" w:right="197"/>
      </w:pPr>
    </w:p>
    <w:p w:rsidR="00AF11B1" w:rsidRDefault="00AF11B1">
      <w:pPr>
        <w:pStyle w:val="Textkrper"/>
        <w:spacing w:before="61"/>
        <w:ind w:left="118" w:right="197"/>
      </w:pPr>
    </w:p>
    <w:p w:rsidR="00AF11B1" w:rsidRPr="00AF11B1" w:rsidRDefault="00AF11B1" w:rsidP="00AF11B1">
      <w:pPr>
        <w:keepNext/>
        <w:spacing w:before="240" w:after="240"/>
        <w:ind w:left="432" w:hanging="432"/>
        <w:outlineLvl w:val="0"/>
        <w:rPr>
          <w:b/>
          <w:bCs/>
          <w:kern w:val="32"/>
          <w:sz w:val="32"/>
          <w:szCs w:val="32"/>
        </w:rPr>
      </w:pPr>
      <w:r w:rsidRPr="00AF11B1">
        <w:rPr>
          <w:b/>
          <w:sz w:val="32"/>
        </w:rPr>
        <w:t>12. Changes and</w:t>
      </w:r>
      <w:r w:rsidR="001F115D">
        <w:rPr>
          <w:b/>
          <w:sz w:val="32"/>
        </w:rPr>
        <w:t xml:space="preserve"> updates to this Privacy Policy</w:t>
      </w:r>
    </w:p>
    <w:p w:rsidR="00AF11B1" w:rsidRPr="00AF11B1" w:rsidRDefault="00AF11B1" w:rsidP="00AF11B1"/>
    <w:p w:rsidR="00AF11B1" w:rsidRPr="00AF11B1" w:rsidRDefault="00AF11B1" w:rsidP="00AF11B1">
      <w:pPr>
        <w:rPr>
          <w:szCs w:val="24"/>
        </w:rPr>
      </w:pPr>
      <w:r w:rsidRPr="00AF11B1">
        <w:t xml:space="preserve">We ask you </w:t>
      </w:r>
      <w:proofErr w:type="gramStart"/>
      <w:r w:rsidRPr="00AF11B1">
        <w:t>to regularly keep</w:t>
      </w:r>
      <w:proofErr w:type="gramEnd"/>
      <w:r w:rsidRPr="00AF11B1">
        <w:t xml:space="preserve"> yourself up to date with the content of our Privacy Policy. We will adapt this Privacy Policy as soon as changes to the current legal bases or the data processing carried out by us make this necessary. </w:t>
      </w:r>
    </w:p>
    <w:p w:rsidR="00AF11B1" w:rsidRPr="0033754E" w:rsidRDefault="00AF11B1" w:rsidP="00AF11B1">
      <w:pPr>
        <w:rPr>
          <w:szCs w:val="24"/>
        </w:rPr>
      </w:pPr>
      <w:r w:rsidRPr="00AF11B1">
        <w:t xml:space="preserve">The most recent version is available on our website </w:t>
      </w:r>
      <w:hyperlink r:id="rId9" w:history="1">
        <w:r w:rsidRPr="00AF11B1">
          <w:rPr>
            <w:rStyle w:val="Hyperlink"/>
          </w:rPr>
          <w:t>www.victors-group.com</w:t>
        </w:r>
      </w:hyperlink>
      <w:r w:rsidRPr="00AF11B1">
        <w:t>.</w:t>
      </w:r>
    </w:p>
    <w:p w:rsidR="00AF11B1" w:rsidRPr="0033754E" w:rsidRDefault="00AF11B1" w:rsidP="00AF11B1">
      <w:pPr>
        <w:rPr>
          <w:szCs w:val="24"/>
        </w:rPr>
      </w:pPr>
    </w:p>
    <w:sectPr w:rsidR="00AF11B1" w:rsidRPr="0033754E">
      <w:pgSz w:w="11900" w:h="16840"/>
      <w:pgMar w:top="1600" w:right="1180" w:bottom="900" w:left="1300" w:header="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209" w:rsidRDefault="003A6209">
      <w:r>
        <w:separator/>
      </w:r>
    </w:p>
  </w:endnote>
  <w:endnote w:type="continuationSeparator" w:id="0">
    <w:p w:rsidR="003A6209" w:rsidRDefault="003A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9C3" w:rsidRDefault="00DA2B92">
    <w:pPr>
      <w:pStyle w:val="Textkrper"/>
      <w:spacing w:line="14" w:lineRule="auto"/>
      <w:rPr>
        <w:sz w:val="20"/>
      </w:rPr>
    </w:pPr>
    <w:r>
      <w:rPr>
        <w:noProof/>
        <w:lang w:val="de-DE" w:eastAsia="de-DE"/>
      </w:rPr>
      <mc:AlternateContent>
        <mc:Choice Requires="wps">
          <w:drawing>
            <wp:anchor distT="0" distB="0" distL="114300" distR="114300" simplePos="0" relativeHeight="503309192" behindDoc="1" locked="0" layoutInCell="1" allowOverlap="1">
              <wp:simplePos x="0" y="0"/>
              <wp:positionH relativeFrom="page">
                <wp:posOffset>887730</wp:posOffset>
              </wp:positionH>
              <wp:positionV relativeFrom="page">
                <wp:posOffset>10099040</wp:posOffset>
              </wp:positionV>
              <wp:extent cx="2804795" cy="139700"/>
              <wp:effectExtent l="1905" t="2540" r="317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9C3" w:rsidRDefault="003A6209">
                          <w:pPr>
                            <w:spacing w:line="197" w:lineRule="exact"/>
                            <w:ind w:left="20"/>
                            <w:rPr>
                              <w:sz w:val="18"/>
                            </w:rPr>
                          </w:pPr>
                          <w:r>
                            <w:rPr>
                              <w:sz w:val="18"/>
                            </w:rPr>
                            <w:t>Data Protection Guidelines of Victor's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9pt;margin-top:795.2pt;width:220.85pt;height:11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8u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" filled="f" stroked="f">
              <v:textbox inset="0,0,0,0">
                <w:txbxContent>
                  <w:p w:rsidR="009179C3" w:rsidRDefault="003A6209">
                    <w:pPr>
                      <w:spacing w:line="197" w:lineRule="exact"/>
                      <w:ind w:left="20"/>
                      <w:rPr>
                        <w:sz w:val="18"/>
                      </w:rPr>
                    </w:pPr>
                    <w:r>
                      <w:rPr>
                        <w:sz w:val="18"/>
                      </w:rPr>
                      <w:t>Data Protection Guidelines of Victor's Group</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309216" behindDoc="1" locked="0" layoutInCell="1" allowOverlap="1">
              <wp:simplePos x="0" y="0"/>
              <wp:positionH relativeFrom="page">
                <wp:posOffset>6228080</wp:posOffset>
              </wp:positionH>
              <wp:positionV relativeFrom="page">
                <wp:posOffset>10099040</wp:posOffset>
              </wp:positionV>
              <wp:extent cx="515620" cy="139700"/>
              <wp:effectExtent l="0" t="254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9C3" w:rsidRDefault="003A6209">
                          <w:pPr>
                            <w:spacing w:line="197" w:lineRule="exact"/>
                            <w:ind w:left="20"/>
                            <w:rPr>
                              <w:sz w:val="18"/>
                            </w:rPr>
                          </w:pPr>
                          <w:r>
                            <w:rPr>
                              <w:sz w:val="18"/>
                            </w:rPr>
                            <w:t xml:space="preserve">Page </w:t>
                          </w:r>
                          <w:r>
                            <w:fldChar w:fldCharType="begin"/>
                          </w:r>
                          <w:r>
                            <w:rPr>
                              <w:sz w:val="18"/>
                            </w:rPr>
                            <w:instrText xml:space="preserve"> PAGE </w:instrText>
                          </w:r>
                          <w:r>
                            <w:fldChar w:fldCharType="separate"/>
                          </w:r>
                          <w:r w:rsidR="005879CC">
                            <w:rPr>
                              <w:noProof/>
                              <w:sz w:val="18"/>
                            </w:rPr>
                            <w:t>8</w:t>
                          </w:r>
                          <w:r>
                            <w:fldChar w:fldCharType="end"/>
                          </w:r>
                          <w:r>
                            <w:rPr>
                              <w:sz w:val="18"/>
                            </w:rPr>
                            <w:t xml:space="preserv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90.4pt;margin-top:795.2pt;width:40.6pt;height:11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R1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" filled="f" stroked="f">
              <v:textbox inset="0,0,0,0">
                <w:txbxContent>
                  <w:p w:rsidR="009179C3" w:rsidRDefault="003A6209">
                    <w:pPr>
                      <w:spacing w:line="197" w:lineRule="exact"/>
                      <w:ind w:left="20"/>
                      <w:rPr>
                        <w:sz w:val="18"/>
                      </w:rPr>
                    </w:pPr>
                    <w:r>
                      <w:rPr>
                        <w:sz w:val="18"/>
                      </w:rPr>
                      <w:t xml:space="preserve">Page </w:t>
                    </w:r>
                    <w:r>
                      <w:fldChar w:fldCharType="begin"/>
                    </w:r>
                    <w:r>
                      <w:rPr>
                        <w:sz w:val="18"/>
                      </w:rPr>
                      <w:instrText xml:space="preserve"> PAGE </w:instrText>
                    </w:r>
                    <w:r>
                      <w:fldChar w:fldCharType="separate"/>
                    </w:r>
                    <w:r w:rsidR="005879CC">
                      <w:rPr>
                        <w:noProof/>
                        <w:sz w:val="18"/>
                      </w:rPr>
                      <w:t>8</w:t>
                    </w:r>
                    <w:r>
                      <w:fldChar w:fldCharType="end"/>
                    </w:r>
                    <w:r>
                      <w:rPr>
                        <w:sz w:val="18"/>
                      </w:rPr>
                      <w:t xml:space="preserve">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209" w:rsidRDefault="003A6209">
      <w:r>
        <w:separator/>
      </w:r>
    </w:p>
  </w:footnote>
  <w:footnote w:type="continuationSeparator" w:id="0">
    <w:p w:rsidR="003A6209" w:rsidRDefault="003A6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943A6"/>
    <w:multiLevelType w:val="hybridMultilevel"/>
    <w:tmpl w:val="E1B69328"/>
    <w:lvl w:ilvl="0" w:tplc="D690D570">
      <w:start w:val="1"/>
      <w:numFmt w:val="decimal"/>
      <w:lvlText w:val="%1."/>
      <w:lvlJc w:val="left"/>
      <w:pPr>
        <w:ind w:left="684" w:hanging="567"/>
      </w:pPr>
      <w:rPr>
        <w:rFonts w:ascii="Arial" w:eastAsia="Arial" w:hAnsi="Arial" w:cs="Arial" w:hint="default"/>
        <w:b/>
        <w:bCs/>
        <w:spacing w:val="-1"/>
        <w:w w:val="100"/>
        <w:sz w:val="28"/>
        <w:szCs w:val="28"/>
      </w:rPr>
    </w:lvl>
    <w:lvl w:ilvl="1" w:tplc="BBA65894">
      <w:numFmt w:val="bullet"/>
      <w:lvlText w:val="•"/>
      <w:lvlJc w:val="left"/>
      <w:pPr>
        <w:ind w:left="1554" w:hanging="567"/>
      </w:pPr>
      <w:rPr>
        <w:rFonts w:hint="default"/>
      </w:rPr>
    </w:lvl>
    <w:lvl w:ilvl="2" w:tplc="815E9856">
      <w:numFmt w:val="bullet"/>
      <w:lvlText w:val="•"/>
      <w:lvlJc w:val="left"/>
      <w:pPr>
        <w:ind w:left="2428" w:hanging="567"/>
      </w:pPr>
      <w:rPr>
        <w:rFonts w:hint="default"/>
      </w:rPr>
    </w:lvl>
    <w:lvl w:ilvl="3" w:tplc="A4AE3846">
      <w:numFmt w:val="bullet"/>
      <w:lvlText w:val="•"/>
      <w:lvlJc w:val="left"/>
      <w:pPr>
        <w:ind w:left="3302" w:hanging="567"/>
      </w:pPr>
      <w:rPr>
        <w:rFonts w:hint="default"/>
      </w:rPr>
    </w:lvl>
    <w:lvl w:ilvl="4" w:tplc="4EA0A9E6">
      <w:numFmt w:val="bullet"/>
      <w:lvlText w:val="•"/>
      <w:lvlJc w:val="left"/>
      <w:pPr>
        <w:ind w:left="4176" w:hanging="567"/>
      </w:pPr>
      <w:rPr>
        <w:rFonts w:hint="default"/>
      </w:rPr>
    </w:lvl>
    <w:lvl w:ilvl="5" w:tplc="6FAEC2B6">
      <w:numFmt w:val="bullet"/>
      <w:lvlText w:val="•"/>
      <w:lvlJc w:val="left"/>
      <w:pPr>
        <w:ind w:left="5050" w:hanging="567"/>
      </w:pPr>
      <w:rPr>
        <w:rFonts w:hint="default"/>
      </w:rPr>
    </w:lvl>
    <w:lvl w:ilvl="6" w:tplc="5BB2268E">
      <w:numFmt w:val="bullet"/>
      <w:lvlText w:val="•"/>
      <w:lvlJc w:val="left"/>
      <w:pPr>
        <w:ind w:left="5924" w:hanging="567"/>
      </w:pPr>
      <w:rPr>
        <w:rFonts w:hint="default"/>
      </w:rPr>
    </w:lvl>
    <w:lvl w:ilvl="7" w:tplc="5CBAD28A">
      <w:numFmt w:val="bullet"/>
      <w:lvlText w:val="•"/>
      <w:lvlJc w:val="left"/>
      <w:pPr>
        <w:ind w:left="6798" w:hanging="567"/>
      </w:pPr>
      <w:rPr>
        <w:rFonts w:hint="default"/>
      </w:rPr>
    </w:lvl>
    <w:lvl w:ilvl="8" w:tplc="731C9B82">
      <w:numFmt w:val="bullet"/>
      <w:lvlText w:val="•"/>
      <w:lvlJc w:val="left"/>
      <w:pPr>
        <w:ind w:left="7672" w:hanging="567"/>
      </w:pPr>
      <w:rPr>
        <w:rFonts w:hint="default"/>
      </w:rPr>
    </w:lvl>
  </w:abstractNum>
  <w:abstractNum w:abstractNumId="1" w15:restartNumberingAfterBreak="0">
    <w:nsid w:val="757E25EF"/>
    <w:multiLevelType w:val="hybridMultilevel"/>
    <w:tmpl w:val="FE1AEC0E"/>
    <w:lvl w:ilvl="0" w:tplc="7F544C00">
      <w:start w:val="1"/>
      <w:numFmt w:val="decimal"/>
      <w:lvlText w:val="%1."/>
      <w:lvlJc w:val="left"/>
      <w:pPr>
        <w:ind w:left="473" w:hanging="356"/>
      </w:pPr>
      <w:rPr>
        <w:rFonts w:ascii="Arial" w:eastAsia="Arial" w:hAnsi="Arial" w:cs="Arial" w:hint="default"/>
        <w:b/>
        <w:bCs/>
        <w:w w:val="99"/>
        <w:sz w:val="32"/>
        <w:szCs w:val="32"/>
      </w:rPr>
    </w:lvl>
    <w:lvl w:ilvl="1" w:tplc="EFE81DC2">
      <w:numFmt w:val="bullet"/>
      <w:lvlText w:val="-"/>
      <w:lvlJc w:val="left"/>
      <w:pPr>
        <w:ind w:left="838" w:hanging="360"/>
      </w:pPr>
      <w:rPr>
        <w:rFonts w:ascii="Arial" w:eastAsia="Arial" w:hAnsi="Arial" w:cs="Arial" w:hint="default"/>
        <w:w w:val="99"/>
        <w:sz w:val="24"/>
        <w:szCs w:val="24"/>
      </w:rPr>
    </w:lvl>
    <w:lvl w:ilvl="2" w:tplc="0BB22FB4">
      <w:numFmt w:val="bullet"/>
      <w:lvlText w:val="•"/>
      <w:lvlJc w:val="left"/>
      <w:pPr>
        <w:ind w:left="1808" w:hanging="360"/>
      </w:pPr>
      <w:rPr>
        <w:rFonts w:hint="default"/>
      </w:rPr>
    </w:lvl>
    <w:lvl w:ilvl="3" w:tplc="6382059A">
      <w:numFmt w:val="bullet"/>
      <w:lvlText w:val="•"/>
      <w:lvlJc w:val="left"/>
      <w:pPr>
        <w:ind w:left="2777" w:hanging="360"/>
      </w:pPr>
      <w:rPr>
        <w:rFonts w:hint="default"/>
      </w:rPr>
    </w:lvl>
    <w:lvl w:ilvl="4" w:tplc="3E36103A">
      <w:numFmt w:val="bullet"/>
      <w:lvlText w:val="•"/>
      <w:lvlJc w:val="left"/>
      <w:pPr>
        <w:ind w:left="3746" w:hanging="360"/>
      </w:pPr>
      <w:rPr>
        <w:rFonts w:hint="default"/>
      </w:rPr>
    </w:lvl>
    <w:lvl w:ilvl="5" w:tplc="CDEEDE6E">
      <w:numFmt w:val="bullet"/>
      <w:lvlText w:val="•"/>
      <w:lvlJc w:val="left"/>
      <w:pPr>
        <w:ind w:left="4715" w:hanging="360"/>
      </w:pPr>
      <w:rPr>
        <w:rFonts w:hint="default"/>
      </w:rPr>
    </w:lvl>
    <w:lvl w:ilvl="6" w:tplc="9EFCC0B0">
      <w:numFmt w:val="bullet"/>
      <w:lvlText w:val="•"/>
      <w:lvlJc w:val="left"/>
      <w:pPr>
        <w:ind w:left="5684" w:hanging="360"/>
      </w:pPr>
      <w:rPr>
        <w:rFonts w:hint="default"/>
      </w:rPr>
    </w:lvl>
    <w:lvl w:ilvl="7" w:tplc="D9F05372">
      <w:numFmt w:val="bullet"/>
      <w:lvlText w:val="•"/>
      <w:lvlJc w:val="left"/>
      <w:pPr>
        <w:ind w:left="6653" w:hanging="360"/>
      </w:pPr>
      <w:rPr>
        <w:rFonts w:hint="default"/>
      </w:rPr>
    </w:lvl>
    <w:lvl w:ilvl="8" w:tplc="93C0ADBC">
      <w:numFmt w:val="bullet"/>
      <w:lvlText w:val="•"/>
      <w:lvlJc w:val="left"/>
      <w:pPr>
        <w:ind w:left="762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C3"/>
    <w:rsid w:val="001F115D"/>
    <w:rsid w:val="003A6209"/>
    <w:rsid w:val="003B162A"/>
    <w:rsid w:val="00404422"/>
    <w:rsid w:val="005879CC"/>
    <w:rsid w:val="009179C3"/>
    <w:rsid w:val="00AF11B1"/>
    <w:rsid w:val="00D44AF9"/>
    <w:rsid w:val="00DA1218"/>
    <w:rsid w:val="00DA2B92"/>
    <w:rsid w:val="00E92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C6A7F"/>
  <w15:docId w15:val="{A5619BE8-1E1F-4FB6-B995-DA654F17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473" w:hanging="355"/>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320"/>
      <w:ind w:left="684" w:hanging="566"/>
    </w:pPr>
    <w:rPr>
      <w:b/>
      <w:bCs/>
      <w:sz w:val="28"/>
      <w:szCs w:val="28"/>
    </w:r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838" w:hanging="36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E924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2435"/>
    <w:rPr>
      <w:rFonts w:ascii="Tahoma" w:eastAsia="Arial" w:hAnsi="Tahoma" w:cs="Tahoma"/>
      <w:sz w:val="16"/>
      <w:szCs w:val="16"/>
    </w:rPr>
  </w:style>
  <w:style w:type="paragraph" w:styleId="Kopfzeile">
    <w:name w:val="header"/>
    <w:basedOn w:val="Standard"/>
    <w:link w:val="KopfzeileZchn"/>
    <w:uiPriority w:val="99"/>
    <w:unhideWhenUsed/>
    <w:rsid w:val="00DA2B92"/>
    <w:pPr>
      <w:tabs>
        <w:tab w:val="center" w:pos="4536"/>
        <w:tab w:val="right" w:pos="9072"/>
      </w:tabs>
    </w:pPr>
  </w:style>
  <w:style w:type="character" w:customStyle="1" w:styleId="KopfzeileZchn">
    <w:name w:val="Kopfzeile Zchn"/>
    <w:basedOn w:val="Absatz-Standardschriftart"/>
    <w:link w:val="Kopfzeile"/>
    <w:uiPriority w:val="99"/>
    <w:rsid w:val="00DA2B92"/>
    <w:rPr>
      <w:rFonts w:ascii="Arial" w:eastAsia="Arial" w:hAnsi="Arial" w:cs="Arial"/>
    </w:rPr>
  </w:style>
  <w:style w:type="paragraph" w:styleId="Fuzeile">
    <w:name w:val="footer"/>
    <w:basedOn w:val="Standard"/>
    <w:link w:val="FuzeileZchn"/>
    <w:uiPriority w:val="99"/>
    <w:unhideWhenUsed/>
    <w:rsid w:val="00DA2B92"/>
    <w:pPr>
      <w:tabs>
        <w:tab w:val="center" w:pos="4536"/>
        <w:tab w:val="right" w:pos="9072"/>
      </w:tabs>
    </w:pPr>
  </w:style>
  <w:style w:type="character" w:customStyle="1" w:styleId="FuzeileZchn">
    <w:name w:val="Fußzeile Zchn"/>
    <w:basedOn w:val="Absatz-Standardschriftart"/>
    <w:link w:val="Fuzeile"/>
    <w:uiPriority w:val="99"/>
    <w:rsid w:val="00DA2B92"/>
    <w:rPr>
      <w:rFonts w:ascii="Arial" w:eastAsia="Arial" w:hAnsi="Arial" w:cs="Arial"/>
    </w:rPr>
  </w:style>
  <w:style w:type="character" w:styleId="Hyperlink">
    <w:name w:val="Hyperlink"/>
    <w:basedOn w:val="Absatz-Standardschriftart"/>
    <w:uiPriority w:val="99"/>
    <w:rsid w:val="00AF11B1"/>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ctor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1568</Words>
  <Characters>9885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Datenschutz-Richtlinie Victors Mai 2018_EN</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Datenschutz-Richtlinie Victors Mai 2018_EN</dc:title>
  <dc:creator>Vogel_Silke</dc:creator>
  <cp:lastModifiedBy>Bechter, Marion</cp:lastModifiedBy>
  <cp:revision>3</cp:revision>
  <dcterms:created xsi:type="dcterms:W3CDTF">2022-11-02T10:11:00Z</dcterms:created>
  <dcterms:modified xsi:type="dcterms:W3CDTF">2022-11-02T10:15:00Z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Creator">
    <vt:lpwstr>FreePDF 4.14 - http://shbox.de</vt:lpwstr>
  </property>
  <property fmtid="{D5CDD505-2E9C-101B-9397-08002B2CF9AE}" pid="4" name="LastSaved">
    <vt:filetime>2019-09-04T00:00:00Z</vt:filetime>
  </property>
</Properties>
</file>